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高集成电子电路板焊接检测维修模块采购项目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8</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3</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日</w:t>
      </w:r>
    </w:p>
    <w:p w14:paraId="1AE81F19">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高集成电子电路板焊接检测维修模块采购</w:t>
      </w:r>
    </w:p>
    <w:p w14:paraId="2C37862B">
      <w:pPr>
        <w:numPr>
          <w:ilvl w:val="0"/>
          <w:numId w:val="1"/>
        </w:numPr>
        <w:spacing w:line="520" w:lineRule="exact"/>
        <w:rPr>
          <w:rFonts w:ascii="Arial" w:hAnsi="Arial" w:cs="Arial"/>
          <w:b w:val="0"/>
          <w:bCs w:val="0"/>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val="en-US" w:eastAsia="zh-CN" w:bidi="en-US"/>
        </w:rPr>
        <w:t>玖</w:t>
      </w:r>
      <w:r>
        <w:rPr>
          <w:rFonts w:hint="eastAsia" w:ascii="Arial" w:hAnsi="Arial" w:cs="Arial"/>
          <w:bCs/>
          <w:color w:val="auto"/>
          <w:kern w:val="0"/>
          <w:sz w:val="24"/>
          <w:szCs w:val="28"/>
          <w:lang w:val="en-US" w:eastAsia="zh-CN" w:bidi="en-US"/>
        </w:rPr>
        <w:t>万</w:t>
      </w:r>
      <w:r>
        <w:rPr>
          <w:rFonts w:ascii="Arial" w:hAnsi="Arial" w:cs="Arial"/>
          <w:b w:val="0"/>
          <w:bCs w:val="0"/>
          <w:color w:val="auto"/>
          <w:kern w:val="0"/>
          <w:sz w:val="24"/>
          <w:szCs w:val="28"/>
          <w:lang w:bidi="en-US"/>
        </w:rPr>
        <w:t>元整（¥</w:t>
      </w:r>
      <w:r>
        <w:rPr>
          <w:rFonts w:hint="eastAsia" w:ascii="Arial" w:hAnsi="Arial" w:cs="Arial"/>
          <w:b w:val="0"/>
          <w:bCs w:val="0"/>
          <w:color w:val="auto"/>
          <w:kern w:val="0"/>
          <w:sz w:val="24"/>
          <w:szCs w:val="28"/>
          <w:lang w:val="en-US" w:eastAsia="zh-CN" w:bidi="en-US"/>
        </w:rPr>
        <w:t>90000</w:t>
      </w:r>
      <w:r>
        <w:rPr>
          <w:rFonts w:hint="eastAsia" w:ascii="Arial" w:hAnsi="Arial" w:cs="Arial"/>
          <w:b w:val="0"/>
          <w:bCs w:val="0"/>
          <w:color w:val="auto"/>
          <w:kern w:val="0"/>
          <w:sz w:val="24"/>
          <w:szCs w:val="28"/>
          <w:lang w:bidi="en-US"/>
        </w:rPr>
        <w:t>.00</w:t>
      </w:r>
      <w:r>
        <w:rPr>
          <w:rFonts w:ascii="Arial" w:hAnsi="Arial" w:cs="Arial"/>
          <w:b w:val="0"/>
          <w:bCs w:val="0"/>
          <w:color w:val="auto"/>
          <w:kern w:val="0"/>
          <w:sz w:val="24"/>
          <w:szCs w:val="28"/>
          <w:lang w:bidi="en-US"/>
        </w:rPr>
        <w:t>）</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color w:val="auto"/>
          <w:kern w:val="0"/>
          <w:sz w:val="24"/>
          <w:szCs w:val="28"/>
          <w:lang w:bidi="en-US"/>
        </w:rPr>
        <w:t>评标方法：最</w:t>
      </w:r>
      <w:r>
        <w:rPr>
          <w:rFonts w:hint="eastAsia" w:ascii="Arial" w:hAnsi="Arial" w:cs="Arial"/>
          <w:bCs/>
          <w:kern w:val="0"/>
          <w:sz w:val="24"/>
          <w:szCs w:val="28"/>
          <w:lang w:bidi="en-US"/>
        </w:rPr>
        <w:t>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821"/>
        <w:gridCol w:w="313"/>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821" w:type="dxa"/>
            <w:shd w:val="clear" w:color="auto" w:fill="auto"/>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13"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616" w:type="dxa"/>
            <w:vAlign w:val="center"/>
          </w:tcPr>
          <w:p w14:paraId="710523F7">
            <w:pPr>
              <w:jc w:val="center"/>
              <w:rPr>
                <w:rFonts w:ascii="Arial" w:hAnsi="Arial" w:cs="Arial"/>
                <w:color w:val="000000"/>
                <w:kern w:val="0"/>
                <w:sz w:val="20"/>
                <w:szCs w:val="20"/>
              </w:rPr>
            </w:pPr>
            <w:r>
              <w:rPr>
                <w:rFonts w:hint="eastAsia"/>
                <w:sz w:val="22"/>
                <w:szCs w:val="22"/>
                <w:vertAlign w:val="baseline"/>
                <w:lang w:val="en-US" w:eastAsia="zh-CN"/>
              </w:rPr>
              <w:t>1</w:t>
            </w:r>
          </w:p>
        </w:tc>
        <w:tc>
          <w:tcPr>
            <w:tcW w:w="851" w:type="dxa"/>
            <w:shd w:val="clear" w:color="auto" w:fill="auto"/>
            <w:noWrap/>
            <w:vAlign w:val="center"/>
          </w:tcPr>
          <w:p w14:paraId="2656D231">
            <w:pPr>
              <w:jc w:val="center"/>
              <w:rPr>
                <w:rFonts w:ascii="Arial" w:hAnsi="Arial" w:cs="Arial"/>
                <w:color w:val="000000"/>
                <w:kern w:val="0"/>
                <w:sz w:val="20"/>
                <w:szCs w:val="20"/>
              </w:rPr>
            </w:pPr>
            <w:r>
              <w:rPr>
                <w:rFonts w:hint="default"/>
                <w:sz w:val="22"/>
                <w:szCs w:val="22"/>
                <w:vertAlign w:val="baseline"/>
                <w:lang w:val="en-US" w:eastAsia="zh-CN"/>
              </w:rPr>
              <w:t>GPU核心模块</w:t>
            </w:r>
          </w:p>
        </w:tc>
        <w:tc>
          <w:tcPr>
            <w:tcW w:w="7821" w:type="dxa"/>
            <w:shd w:val="clear" w:color="auto" w:fill="auto"/>
            <w:noWrap/>
            <w:vAlign w:val="center"/>
          </w:tcPr>
          <w:p w14:paraId="77525439">
            <w:pPr>
              <w:numPr>
                <w:ilvl w:val="0"/>
                <w:numId w:val="2"/>
              </w:numPr>
              <w:jc w:val="left"/>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核心架构：NVIDIA Ampere（GA100），台积电 7nm 工艺，确保与其他模块焊接组装后正常运行；</w:t>
            </w:r>
          </w:p>
          <w:p w14:paraId="22E443BD">
            <w:pPr>
              <w:numPr>
                <w:ilvl w:val="0"/>
                <w:numId w:val="2"/>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SM（流式多处理器）：108 个；</w:t>
            </w:r>
          </w:p>
          <w:p w14:paraId="0359E642">
            <w:pPr>
              <w:numPr>
                <w:ilvl w:val="0"/>
                <w:numId w:val="2"/>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Tensor Core：432 个（第三代，支持 TF32/FP16/BF16/INT8 等多精度计算）；</w:t>
            </w:r>
          </w:p>
          <w:p w14:paraId="591ECAB6">
            <w:pPr>
              <w:numPr>
                <w:ilvl w:val="0"/>
                <w:numId w:val="2"/>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CUDA 核心：6912 个（FP32 单精度峰值 19.5 TFLOPS）；</w:t>
            </w:r>
          </w:p>
          <w:p w14:paraId="0932039C">
            <w:pPr>
              <w:numPr>
                <w:ilvl w:val="0"/>
                <w:numId w:val="2"/>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寄存器文件：≥27 MB；</w:t>
            </w:r>
          </w:p>
          <w:p w14:paraId="4049E17D">
            <w:pPr>
              <w:numPr>
                <w:ilvl w:val="0"/>
                <w:numId w:val="0"/>
              </w:numPr>
              <w:ind w:leftChars="0"/>
              <w:jc w:val="left"/>
              <w:rPr>
                <w:rFonts w:cs="Times New Roman"/>
                <w:sz w:val="24"/>
                <w:szCs w:val="24"/>
              </w:rPr>
            </w:pPr>
            <w:r>
              <w:rPr>
                <w:rFonts w:hint="default" w:ascii="宋体" w:hAnsi="宋体" w:eastAsia="宋体" w:cs="宋体"/>
                <w:sz w:val="20"/>
                <w:szCs w:val="20"/>
                <w:vertAlign w:val="baseline"/>
                <w:lang w:val="en-US" w:eastAsia="zh-CN"/>
              </w:rPr>
              <w:t>6. L2 缓存：≥40 MB</w:t>
            </w:r>
          </w:p>
        </w:tc>
        <w:tc>
          <w:tcPr>
            <w:tcW w:w="313" w:type="dxa"/>
            <w:shd w:val="clear" w:color="auto" w:fill="auto"/>
            <w:noWrap/>
            <w:vAlign w:val="center"/>
          </w:tcPr>
          <w:p w14:paraId="1AB08FDC">
            <w:pPr>
              <w:jc w:val="center"/>
              <w:rPr>
                <w:rFonts w:ascii="Arial" w:hAnsi="Arial" w:cs="Arial"/>
                <w:color w:val="FF0000"/>
                <w:kern w:val="0"/>
                <w:szCs w:val="21"/>
              </w:rPr>
            </w:pPr>
            <w:r>
              <w:rPr>
                <w:rFonts w:hint="eastAsia"/>
                <w:sz w:val="24"/>
                <w:szCs w:val="24"/>
                <w:vertAlign w:val="baseline"/>
                <w:lang w:val="en-US" w:eastAsia="zh-CN"/>
              </w:rPr>
              <w:t>1</w:t>
            </w:r>
          </w:p>
        </w:tc>
        <w:tc>
          <w:tcPr>
            <w:tcW w:w="465" w:type="dxa"/>
            <w:shd w:val="clear" w:color="auto" w:fill="auto"/>
            <w:noWrap/>
            <w:vAlign w:val="center"/>
          </w:tcPr>
          <w:p w14:paraId="2339F74B">
            <w:pPr>
              <w:jc w:val="center"/>
              <w:rPr>
                <w:rFonts w:ascii="Arial" w:hAnsi="Arial" w:cs="Arial"/>
                <w:color w:val="FF0000"/>
                <w:kern w:val="0"/>
                <w:szCs w:val="21"/>
              </w:rPr>
            </w:pPr>
            <w:r>
              <w:rPr>
                <w:rFonts w:hint="eastAsia"/>
                <w:sz w:val="24"/>
                <w:szCs w:val="24"/>
                <w:vertAlign w:val="baseline"/>
                <w:lang w:val="en-US" w:eastAsia="zh-CN"/>
              </w:rPr>
              <w:t>套</w:t>
            </w:r>
          </w:p>
        </w:tc>
      </w:tr>
      <w:tr w14:paraId="1338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616" w:type="dxa"/>
            <w:vAlign w:val="center"/>
          </w:tcPr>
          <w:p w14:paraId="35E1D1CF">
            <w:pPr>
              <w:jc w:val="center"/>
              <w:rPr>
                <w:rFonts w:ascii="Arial" w:hAnsi="Arial" w:cs="Arial"/>
                <w:color w:val="000000"/>
                <w:kern w:val="0"/>
                <w:sz w:val="20"/>
                <w:szCs w:val="20"/>
              </w:rPr>
            </w:pPr>
            <w:r>
              <w:rPr>
                <w:rFonts w:hint="eastAsia"/>
                <w:sz w:val="22"/>
                <w:szCs w:val="22"/>
                <w:vertAlign w:val="baseline"/>
                <w:lang w:val="en-US" w:eastAsia="zh-CN"/>
              </w:rPr>
              <w:t>2</w:t>
            </w:r>
          </w:p>
        </w:tc>
        <w:tc>
          <w:tcPr>
            <w:tcW w:w="851" w:type="dxa"/>
            <w:shd w:val="clear" w:color="auto" w:fill="auto"/>
            <w:noWrap/>
            <w:vAlign w:val="center"/>
          </w:tcPr>
          <w:p w14:paraId="3AE562A2">
            <w:pPr>
              <w:jc w:val="center"/>
              <w:rPr>
                <w:rFonts w:ascii="Arial" w:hAnsi="Arial" w:cs="Arial"/>
                <w:color w:val="FF0000"/>
                <w:kern w:val="0"/>
                <w:sz w:val="20"/>
                <w:szCs w:val="20"/>
              </w:rPr>
            </w:pPr>
            <w:r>
              <w:rPr>
                <w:rFonts w:hint="default"/>
                <w:sz w:val="22"/>
                <w:szCs w:val="22"/>
                <w:vertAlign w:val="baseline"/>
                <w:lang w:val="en-US" w:eastAsia="zh-CN"/>
              </w:rPr>
              <w:t>显存模块</w:t>
            </w:r>
          </w:p>
        </w:tc>
        <w:tc>
          <w:tcPr>
            <w:tcW w:w="7821" w:type="dxa"/>
            <w:shd w:val="clear" w:color="auto" w:fill="auto"/>
            <w:noWrap/>
            <w:vAlign w:val="center"/>
          </w:tcPr>
          <w:p w14:paraId="012AA1D2">
            <w:pPr>
              <w:numPr>
                <w:ilvl w:val="0"/>
                <w:numId w:val="3"/>
              </w:numPr>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总容量：≥80GB，采用 HBM2e 3D 堆叠技术，由 5 个独立 HBM2e 堆栈芯片组成；</w:t>
            </w:r>
          </w:p>
          <w:p w14:paraId="549D9142">
            <w:pPr>
              <w:numPr>
                <w:ilvl w:val="0"/>
                <w:numId w:val="3"/>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单堆栈容量：每个 HBM2e 堆栈容量≥16GB；</w:t>
            </w:r>
          </w:p>
          <w:p w14:paraId="00FCF6A2">
            <w:pPr>
              <w:numPr>
                <w:ilvl w:val="0"/>
                <w:numId w:val="3"/>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显存带宽：≥2039 GB/s；</w:t>
            </w:r>
          </w:p>
          <w:p w14:paraId="2DDA4615">
            <w:pPr>
              <w:numPr>
                <w:ilvl w:val="0"/>
                <w:numId w:val="3"/>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总位宽：5120bit（单个堆栈 1024bit，5×1024bit）；</w:t>
            </w:r>
          </w:p>
          <w:p w14:paraId="45A90B65">
            <w:pPr>
              <w:numPr>
                <w:ilvl w:val="0"/>
                <w:numId w:val="3"/>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适配性：支持 ECC 纠错功能，与 A100 GPU 核心模块原生适配；</w:t>
            </w:r>
          </w:p>
          <w:p w14:paraId="667BB9E0">
            <w:pPr>
              <w:numPr>
                <w:ilvl w:val="0"/>
                <w:numId w:val="3"/>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可靠性：MTBF≥1,200,000 小时，满足数据中心 7×24 小时连续运行</w:t>
            </w:r>
          </w:p>
        </w:tc>
        <w:tc>
          <w:tcPr>
            <w:tcW w:w="313" w:type="dxa"/>
            <w:shd w:val="clear" w:color="auto" w:fill="auto"/>
            <w:noWrap/>
            <w:vAlign w:val="center"/>
          </w:tcPr>
          <w:p w14:paraId="6E77D122">
            <w:pPr>
              <w:jc w:val="center"/>
              <w:rPr>
                <w:rFonts w:ascii="Arial" w:hAnsi="Arial" w:cs="Arial"/>
                <w:color w:val="FF0000"/>
                <w:kern w:val="0"/>
                <w:szCs w:val="21"/>
                <w:highlight w:val="none"/>
              </w:rPr>
            </w:pPr>
            <w:r>
              <w:rPr>
                <w:rFonts w:hint="eastAsia"/>
                <w:sz w:val="24"/>
                <w:szCs w:val="24"/>
                <w:highlight w:val="none"/>
                <w:vertAlign w:val="baseline"/>
                <w:lang w:val="en-US" w:eastAsia="zh-CN"/>
              </w:rPr>
              <w:t>1</w:t>
            </w:r>
          </w:p>
        </w:tc>
        <w:tc>
          <w:tcPr>
            <w:tcW w:w="465" w:type="dxa"/>
            <w:shd w:val="clear" w:color="auto" w:fill="auto"/>
            <w:noWrap/>
            <w:vAlign w:val="center"/>
          </w:tcPr>
          <w:p w14:paraId="0B5B5167">
            <w:pPr>
              <w:jc w:val="center"/>
              <w:rPr>
                <w:rFonts w:ascii="Arial" w:hAnsi="Arial" w:cs="Arial"/>
                <w:color w:val="FF0000"/>
                <w:kern w:val="0"/>
                <w:szCs w:val="21"/>
                <w:highlight w:val="none"/>
              </w:rPr>
            </w:pPr>
            <w:r>
              <w:rPr>
                <w:rFonts w:hint="eastAsia"/>
                <w:sz w:val="24"/>
                <w:szCs w:val="24"/>
                <w:highlight w:val="none"/>
                <w:vertAlign w:val="baseline"/>
                <w:lang w:val="en-US" w:eastAsia="zh-CN"/>
              </w:rPr>
              <w:t>套</w:t>
            </w:r>
          </w:p>
        </w:tc>
      </w:tr>
      <w:tr w14:paraId="695D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616" w:type="dxa"/>
            <w:vAlign w:val="center"/>
          </w:tcPr>
          <w:p w14:paraId="4B4B8400">
            <w:pPr>
              <w:jc w:val="center"/>
              <w:rPr>
                <w:rFonts w:ascii="Arial" w:hAnsi="Arial" w:cs="Arial"/>
                <w:color w:val="000000"/>
                <w:kern w:val="0"/>
                <w:sz w:val="20"/>
                <w:szCs w:val="20"/>
              </w:rPr>
            </w:pPr>
            <w:r>
              <w:rPr>
                <w:rFonts w:hint="eastAsia"/>
                <w:sz w:val="22"/>
                <w:szCs w:val="22"/>
                <w:vertAlign w:val="baseline"/>
                <w:lang w:val="en-US" w:eastAsia="zh-CN"/>
              </w:rPr>
              <w:t>3</w:t>
            </w:r>
          </w:p>
        </w:tc>
        <w:tc>
          <w:tcPr>
            <w:tcW w:w="851" w:type="dxa"/>
            <w:shd w:val="clear" w:color="auto" w:fill="auto"/>
            <w:noWrap/>
            <w:vAlign w:val="center"/>
          </w:tcPr>
          <w:p w14:paraId="40953E25">
            <w:pPr>
              <w:jc w:val="center"/>
              <w:rPr>
                <w:rFonts w:ascii="Arial" w:hAnsi="Arial" w:cs="Arial"/>
                <w:color w:val="FF0000"/>
                <w:kern w:val="0"/>
                <w:sz w:val="20"/>
                <w:szCs w:val="20"/>
              </w:rPr>
            </w:pPr>
            <w:r>
              <w:rPr>
                <w:rFonts w:hint="default"/>
                <w:sz w:val="22"/>
                <w:szCs w:val="22"/>
                <w:vertAlign w:val="baseline"/>
                <w:lang w:val="en-US" w:eastAsia="zh-CN"/>
              </w:rPr>
              <w:t>互连模块</w:t>
            </w:r>
          </w:p>
        </w:tc>
        <w:tc>
          <w:tcPr>
            <w:tcW w:w="7821" w:type="dxa"/>
            <w:shd w:val="clear" w:color="auto" w:fill="auto"/>
            <w:noWrap/>
            <w:vAlign w:val="center"/>
          </w:tcPr>
          <w:p w14:paraId="76C0DB10">
            <w:pPr>
              <w:numPr>
                <w:ilvl w:val="0"/>
                <w:numId w:val="4"/>
              </w:numPr>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核心组件：含 NVLink 3.0 链路及 NVSwitch 交换芯片；</w:t>
            </w:r>
          </w:p>
          <w:p w14:paraId="55101CB8">
            <w:pPr>
              <w:numPr>
                <w:ilvl w:val="0"/>
                <w:numId w:val="4"/>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NVSwitch 数量：2 颗；</w:t>
            </w:r>
          </w:p>
          <w:p w14:paraId="499B975F">
            <w:pPr>
              <w:numPr>
                <w:ilvl w:val="0"/>
                <w:numId w:val="4"/>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单芯片端口：18 个 NVLink 3.0 端口；</w:t>
            </w:r>
          </w:p>
          <w:p w14:paraId="3C2EA6B9">
            <w:pPr>
              <w:numPr>
                <w:ilvl w:val="0"/>
                <w:numId w:val="4"/>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单芯片交换能力：单向 4.5 TB/s，双向 9 TB/s 聚合带宽（18 ports × 25 GB/s/port）；</w:t>
            </w:r>
          </w:p>
          <w:p w14:paraId="236927D7">
            <w:pPr>
              <w:numPr>
                <w:ilvl w:val="0"/>
                <w:numId w:val="4"/>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GPU 间通信带宽：单节点内任意 GPU 间双向带宽≥600 GB/s；</w:t>
            </w:r>
          </w:p>
          <w:p w14:paraId="5A2C20E2">
            <w:pPr>
              <w:numPr>
                <w:ilvl w:val="0"/>
                <w:numId w:val="0"/>
              </w:numPr>
              <w:ind w:left="0" w:leftChars="0" w:firstLine="0" w:firstLineChars="0"/>
              <w:jc w:val="left"/>
              <w:rPr>
                <w:rFonts w:cs="Times New Roman"/>
                <w:sz w:val="24"/>
                <w:szCs w:val="24"/>
              </w:rPr>
            </w:pPr>
            <w:r>
              <w:rPr>
                <w:rFonts w:hint="default" w:ascii="宋体" w:hAnsi="宋体" w:eastAsia="宋体" w:cs="宋体"/>
                <w:sz w:val="20"/>
                <w:szCs w:val="20"/>
                <w:vertAlign w:val="baseline"/>
                <w:lang w:val="en-US" w:eastAsia="zh-CN"/>
              </w:rPr>
              <w:t>6. 功能：实现多 GPU 间低延迟、高带宽数据交互，支持集群扩展</w:t>
            </w:r>
          </w:p>
        </w:tc>
        <w:tc>
          <w:tcPr>
            <w:tcW w:w="313" w:type="dxa"/>
            <w:shd w:val="clear" w:color="auto" w:fill="auto"/>
            <w:noWrap/>
            <w:vAlign w:val="center"/>
          </w:tcPr>
          <w:p w14:paraId="2643C0E1">
            <w:pPr>
              <w:jc w:val="center"/>
              <w:rPr>
                <w:rFonts w:ascii="Arial" w:hAnsi="Arial" w:cs="Arial"/>
                <w:color w:val="FF0000"/>
                <w:kern w:val="0"/>
                <w:szCs w:val="21"/>
              </w:rPr>
            </w:pPr>
            <w:r>
              <w:rPr>
                <w:rFonts w:hint="eastAsia"/>
                <w:sz w:val="24"/>
                <w:szCs w:val="24"/>
                <w:vertAlign w:val="baseline"/>
                <w:lang w:val="en-US" w:eastAsia="zh-CN"/>
              </w:rPr>
              <w:t>1</w:t>
            </w:r>
          </w:p>
        </w:tc>
        <w:tc>
          <w:tcPr>
            <w:tcW w:w="465" w:type="dxa"/>
            <w:shd w:val="clear" w:color="auto" w:fill="auto"/>
            <w:noWrap/>
            <w:vAlign w:val="center"/>
          </w:tcPr>
          <w:p w14:paraId="28BDB032">
            <w:pPr>
              <w:jc w:val="center"/>
              <w:rPr>
                <w:rFonts w:ascii="Arial" w:hAnsi="Arial" w:cs="Arial"/>
                <w:color w:val="FF0000"/>
                <w:kern w:val="0"/>
                <w:szCs w:val="21"/>
              </w:rPr>
            </w:pPr>
            <w:r>
              <w:rPr>
                <w:rFonts w:hint="eastAsia"/>
                <w:sz w:val="24"/>
                <w:szCs w:val="24"/>
                <w:vertAlign w:val="baseline"/>
                <w:lang w:val="en-US" w:eastAsia="zh-CN"/>
              </w:rPr>
              <w:t>套</w:t>
            </w:r>
          </w:p>
        </w:tc>
      </w:tr>
      <w:tr w14:paraId="77D0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16" w:type="dxa"/>
            <w:vAlign w:val="center"/>
          </w:tcPr>
          <w:p w14:paraId="326A3BDC">
            <w:pPr>
              <w:jc w:val="center"/>
              <w:rPr>
                <w:rFonts w:ascii="Arial" w:hAnsi="Arial" w:cs="Arial"/>
                <w:color w:val="000000"/>
                <w:kern w:val="0"/>
                <w:sz w:val="20"/>
                <w:szCs w:val="20"/>
              </w:rPr>
            </w:pPr>
            <w:r>
              <w:rPr>
                <w:rFonts w:hint="eastAsia"/>
                <w:sz w:val="22"/>
                <w:szCs w:val="22"/>
                <w:vertAlign w:val="baseline"/>
                <w:lang w:val="en-US" w:eastAsia="zh-CN"/>
              </w:rPr>
              <w:t>4</w:t>
            </w:r>
          </w:p>
        </w:tc>
        <w:tc>
          <w:tcPr>
            <w:tcW w:w="851" w:type="dxa"/>
            <w:shd w:val="clear" w:color="auto" w:fill="auto"/>
            <w:noWrap/>
            <w:vAlign w:val="center"/>
          </w:tcPr>
          <w:p w14:paraId="05BFB732">
            <w:pPr>
              <w:jc w:val="center"/>
              <w:rPr>
                <w:rFonts w:ascii="Arial" w:hAnsi="Arial" w:cs="Arial"/>
                <w:color w:val="FF0000"/>
                <w:kern w:val="0"/>
                <w:sz w:val="20"/>
                <w:szCs w:val="20"/>
              </w:rPr>
            </w:pPr>
            <w:r>
              <w:rPr>
                <w:rFonts w:hint="default"/>
                <w:sz w:val="22"/>
                <w:szCs w:val="22"/>
                <w:vertAlign w:val="baseline"/>
                <w:lang w:val="en-US" w:eastAsia="zh-CN"/>
              </w:rPr>
              <w:t>电源和散热模块</w:t>
            </w:r>
          </w:p>
        </w:tc>
        <w:tc>
          <w:tcPr>
            <w:tcW w:w="7821" w:type="dxa"/>
            <w:shd w:val="clear" w:color="auto" w:fill="auto"/>
            <w:noWrap/>
            <w:vAlign w:val="center"/>
          </w:tcPr>
          <w:p w14:paraId="6EFA270B">
            <w:pPr>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电源模块要求：</w:t>
            </w:r>
          </w:p>
          <w:p w14:paraId="22C28C86">
            <w:pPr>
              <w:numPr>
                <w:ilvl w:val="0"/>
                <w:numId w:val="5"/>
              </w:numPr>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电压调节模块（VRM）：采用多相设计，核心（Vcore）供电≥8 相，显存（Vmem）供电≥3 相，配备 DrMOS 或同等高效功率器件；</w:t>
            </w:r>
          </w:p>
          <w:p w14:paraId="7B0D610D">
            <w:pPr>
              <w:numPr>
                <w:ilvl w:val="0"/>
                <w:numId w:val="5"/>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输入电容：采用高分子固态电容，总容值≥2000μF；</w:t>
            </w:r>
          </w:p>
          <w:p w14:paraId="04A1F8B6">
            <w:pPr>
              <w:numPr>
                <w:ilvl w:val="0"/>
                <w:numId w:val="5"/>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电感：高效铁氧体磁屏蔽电感，每相额定电流≥40A；</w:t>
            </w:r>
          </w:p>
          <w:p w14:paraId="74B2ACBB">
            <w:pPr>
              <w:numPr>
                <w:ilvl w:val="0"/>
                <w:numId w:val="5"/>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PWM 控制器：具备精确多相数字 PWM 控制、负载平衡功能，支持过流 / 过压 / 过温三重保护；</w:t>
            </w:r>
          </w:p>
          <w:p w14:paraId="0B11C3D9">
            <w:pPr>
              <w:numPr>
                <w:ilvl w:val="0"/>
                <w:numId w:val="5"/>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VRM 散热：VRM 区域配备独立散热片，与主散热器或风道有效导热；</w:t>
            </w:r>
          </w:p>
          <w:p w14:paraId="6DA2E7DF">
            <w:pPr>
              <w:numPr>
                <w:ilvl w:val="0"/>
                <w:numId w:val="0"/>
              </w:numPr>
              <w:ind w:left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散热器要求：</w:t>
            </w:r>
          </w:p>
          <w:p w14:paraId="42A3D9F5">
            <w:pPr>
              <w:numPr>
                <w:ilvl w:val="0"/>
                <w:numId w:val="6"/>
              </w:numPr>
              <w:ind w:left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散热方式：主动式涡轮风扇散热；</w:t>
            </w:r>
          </w:p>
          <w:p w14:paraId="135CE8F3">
            <w:pPr>
              <w:numPr>
                <w:ilvl w:val="0"/>
                <w:numId w:val="0"/>
              </w:numPr>
              <w:ind w:left="0" w:leftChars="0" w:firstLine="0" w:firstLineChars="0"/>
              <w:jc w:val="left"/>
              <w:rPr>
                <w:rFonts w:cs="Times New Roman"/>
                <w:sz w:val="24"/>
                <w:szCs w:val="24"/>
              </w:rPr>
            </w:pPr>
            <w:r>
              <w:rPr>
                <w:rFonts w:hint="default" w:ascii="宋体" w:hAnsi="宋体" w:eastAsia="宋体" w:cs="宋体"/>
                <w:sz w:val="20"/>
                <w:szCs w:val="20"/>
                <w:vertAlign w:val="baseline"/>
                <w:lang w:val="en-US" w:eastAsia="zh-CN"/>
              </w:rPr>
              <w:t>2. 散热器本体：大面积真空腔均热板（覆盖 GPU 核心及关键部件），高密度铝制鳍片（总散热面积≥1500 cm²），配备≥4 根 6mm 烧结热管（贯穿鳍片阵列）；3. 风扇规格：轴向离心式（鼓风机）风扇，支持 PWM 智能调速，风扇直径≥70mm，最大转速≥4500 RPM，风量≥15 CFM</w:t>
            </w:r>
          </w:p>
        </w:tc>
        <w:tc>
          <w:tcPr>
            <w:tcW w:w="313" w:type="dxa"/>
            <w:shd w:val="clear" w:color="auto" w:fill="auto"/>
            <w:noWrap/>
            <w:vAlign w:val="center"/>
          </w:tcPr>
          <w:p w14:paraId="53A2D2F6">
            <w:pPr>
              <w:jc w:val="center"/>
              <w:rPr>
                <w:rFonts w:ascii="Arial" w:hAnsi="Arial" w:cs="Arial"/>
                <w:color w:val="FF0000"/>
                <w:kern w:val="0"/>
                <w:szCs w:val="21"/>
              </w:rPr>
            </w:pPr>
            <w:r>
              <w:rPr>
                <w:rFonts w:hint="eastAsia"/>
                <w:sz w:val="24"/>
                <w:szCs w:val="24"/>
                <w:vertAlign w:val="baseline"/>
                <w:lang w:val="en-US" w:eastAsia="zh-CN"/>
              </w:rPr>
              <w:t>1</w:t>
            </w:r>
          </w:p>
        </w:tc>
        <w:tc>
          <w:tcPr>
            <w:tcW w:w="465" w:type="dxa"/>
            <w:shd w:val="clear" w:color="auto" w:fill="auto"/>
            <w:noWrap/>
            <w:vAlign w:val="center"/>
          </w:tcPr>
          <w:p w14:paraId="4E2D3ECB">
            <w:pPr>
              <w:jc w:val="center"/>
              <w:rPr>
                <w:rFonts w:ascii="Arial" w:hAnsi="Arial" w:cs="Arial"/>
                <w:color w:val="FF0000"/>
                <w:kern w:val="0"/>
                <w:szCs w:val="21"/>
              </w:rPr>
            </w:pPr>
            <w:r>
              <w:rPr>
                <w:rFonts w:hint="eastAsia"/>
                <w:sz w:val="24"/>
                <w:szCs w:val="24"/>
                <w:vertAlign w:val="baseline"/>
                <w:lang w:val="en-US" w:eastAsia="zh-CN"/>
              </w:rPr>
              <w:t>套</w:t>
            </w:r>
          </w:p>
        </w:tc>
      </w:tr>
      <w:tr w14:paraId="31D9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616" w:type="dxa"/>
            <w:vAlign w:val="center"/>
          </w:tcPr>
          <w:p w14:paraId="51E09B27">
            <w:pPr>
              <w:jc w:val="center"/>
              <w:rPr>
                <w:rFonts w:ascii="Arial" w:hAnsi="Arial" w:cs="Arial"/>
                <w:color w:val="000000"/>
                <w:kern w:val="0"/>
                <w:sz w:val="20"/>
                <w:szCs w:val="20"/>
              </w:rPr>
            </w:pPr>
            <w:r>
              <w:rPr>
                <w:rFonts w:hint="eastAsia"/>
                <w:sz w:val="22"/>
                <w:szCs w:val="22"/>
                <w:vertAlign w:val="baseline"/>
                <w:lang w:val="en-US" w:eastAsia="zh-CN"/>
              </w:rPr>
              <w:t>5</w:t>
            </w:r>
          </w:p>
        </w:tc>
        <w:tc>
          <w:tcPr>
            <w:tcW w:w="851" w:type="dxa"/>
            <w:shd w:val="clear" w:color="auto" w:fill="auto"/>
            <w:noWrap/>
            <w:vAlign w:val="center"/>
          </w:tcPr>
          <w:p w14:paraId="2C735545">
            <w:pPr>
              <w:jc w:val="center"/>
              <w:rPr>
                <w:rFonts w:ascii="Arial" w:hAnsi="Arial" w:cs="Arial"/>
                <w:color w:val="FF0000"/>
                <w:kern w:val="0"/>
                <w:sz w:val="20"/>
                <w:szCs w:val="20"/>
              </w:rPr>
            </w:pPr>
            <w:r>
              <w:rPr>
                <w:rFonts w:hint="default"/>
                <w:sz w:val="22"/>
                <w:szCs w:val="22"/>
                <w:vertAlign w:val="baseline"/>
                <w:lang w:val="en-US" w:eastAsia="zh-CN"/>
              </w:rPr>
              <w:t>封装和载板</w:t>
            </w:r>
            <w:r>
              <w:rPr>
                <w:rFonts w:hint="eastAsia"/>
                <w:sz w:val="22"/>
                <w:szCs w:val="22"/>
                <w:vertAlign w:val="baseline"/>
                <w:lang w:val="en-US" w:eastAsia="zh-CN"/>
              </w:rPr>
              <w:t>模块</w:t>
            </w:r>
          </w:p>
        </w:tc>
        <w:tc>
          <w:tcPr>
            <w:tcW w:w="7821" w:type="dxa"/>
            <w:shd w:val="clear" w:color="auto" w:fill="auto"/>
            <w:noWrap/>
            <w:vAlign w:val="center"/>
          </w:tcPr>
          <w:p w14:paraId="50974A45">
            <w:pPr>
              <w:numPr>
                <w:ilvl w:val="0"/>
                <w:numId w:val="0"/>
              </w:numPr>
              <w:jc w:val="left"/>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w:t>
            </w:r>
            <w:r>
              <w:rPr>
                <w:rFonts w:hint="default" w:ascii="宋体" w:hAnsi="宋体" w:eastAsia="宋体" w:cs="宋体"/>
                <w:sz w:val="20"/>
                <w:szCs w:val="20"/>
                <w:vertAlign w:val="baseline"/>
                <w:lang w:val="en-US" w:eastAsia="zh-CN"/>
              </w:rPr>
              <w:t>封装类型：FCBGA（倒装球栅阵列）封装载板，符合行业标准；</w:t>
            </w:r>
          </w:p>
          <w:p w14:paraId="172D8BE6">
            <w:pPr>
              <w:numPr>
                <w:ilvl w:val="0"/>
                <w:numId w:val="0"/>
              </w:numPr>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2. 载板规格：承载 A100 全模块的 PCB 主板，材质为高导热、低损耗玻纤基板；</w:t>
            </w:r>
          </w:p>
          <w:p w14:paraId="2EFFD552">
            <w:pPr>
              <w:numPr>
                <w:ilvl w:val="0"/>
                <w:numId w:val="0"/>
              </w:numPr>
              <w:ind w:left="0" w:leftChars="0" w:firstLine="0" w:firstLineChars="0"/>
              <w:jc w:val="left"/>
              <w:rPr>
                <w:rFonts w:cs="Times New Roman"/>
                <w:sz w:val="24"/>
                <w:szCs w:val="24"/>
              </w:rPr>
            </w:pPr>
            <w:r>
              <w:rPr>
                <w:rFonts w:hint="default" w:ascii="宋体" w:hAnsi="宋体" w:eastAsia="宋体" w:cs="宋体"/>
                <w:sz w:val="20"/>
                <w:szCs w:val="20"/>
                <w:vertAlign w:val="baseline"/>
                <w:lang w:val="en-US" w:eastAsia="zh-CN"/>
              </w:rPr>
              <w:t>3. 工艺要求：支持高密度焊点布局，信号传输损耗≤3%，适配核心模块、显存模块等组件的焊接安装</w:t>
            </w:r>
          </w:p>
        </w:tc>
        <w:tc>
          <w:tcPr>
            <w:tcW w:w="313" w:type="dxa"/>
            <w:shd w:val="clear" w:color="auto" w:fill="auto"/>
            <w:noWrap/>
            <w:vAlign w:val="center"/>
          </w:tcPr>
          <w:p w14:paraId="677D775D">
            <w:pPr>
              <w:jc w:val="center"/>
              <w:rPr>
                <w:rFonts w:ascii="Arial" w:hAnsi="Arial" w:cs="Arial"/>
                <w:color w:val="FF0000"/>
                <w:kern w:val="0"/>
                <w:szCs w:val="21"/>
              </w:rPr>
            </w:pPr>
            <w:r>
              <w:rPr>
                <w:rFonts w:hint="eastAsia"/>
                <w:sz w:val="24"/>
                <w:szCs w:val="24"/>
                <w:vertAlign w:val="baseline"/>
                <w:lang w:val="en-US" w:eastAsia="zh-CN"/>
              </w:rPr>
              <w:t>1</w:t>
            </w:r>
          </w:p>
        </w:tc>
        <w:tc>
          <w:tcPr>
            <w:tcW w:w="465" w:type="dxa"/>
            <w:shd w:val="clear" w:color="auto" w:fill="auto"/>
            <w:noWrap/>
            <w:vAlign w:val="center"/>
          </w:tcPr>
          <w:p w14:paraId="41BD1ABD">
            <w:pPr>
              <w:jc w:val="center"/>
              <w:rPr>
                <w:rFonts w:ascii="Arial" w:hAnsi="Arial" w:cs="Arial"/>
                <w:color w:val="FF0000"/>
                <w:kern w:val="0"/>
                <w:szCs w:val="21"/>
              </w:rPr>
            </w:pPr>
            <w:r>
              <w:rPr>
                <w:rFonts w:hint="eastAsia"/>
                <w:sz w:val="24"/>
                <w:szCs w:val="24"/>
                <w:vertAlign w:val="baseline"/>
                <w:lang w:val="en-US" w:eastAsia="zh-CN"/>
              </w:rPr>
              <w:t>套</w:t>
            </w:r>
          </w:p>
        </w:tc>
      </w:tr>
      <w:tr w14:paraId="04C6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6" w:type="dxa"/>
            <w:vAlign w:val="center"/>
          </w:tcPr>
          <w:p w14:paraId="14C72260">
            <w:pPr>
              <w:jc w:val="center"/>
              <w:rPr>
                <w:rFonts w:ascii="Arial" w:hAnsi="Arial" w:cs="Arial"/>
                <w:color w:val="000000"/>
                <w:kern w:val="0"/>
                <w:sz w:val="20"/>
                <w:szCs w:val="20"/>
              </w:rPr>
            </w:pPr>
            <w:r>
              <w:rPr>
                <w:rFonts w:hint="eastAsia"/>
                <w:sz w:val="22"/>
                <w:szCs w:val="22"/>
                <w:vertAlign w:val="baseline"/>
                <w:lang w:val="en-US" w:eastAsia="zh-CN"/>
              </w:rPr>
              <w:t>6</w:t>
            </w:r>
          </w:p>
        </w:tc>
        <w:tc>
          <w:tcPr>
            <w:tcW w:w="851" w:type="dxa"/>
            <w:shd w:val="clear" w:color="auto" w:fill="auto"/>
            <w:noWrap/>
            <w:vAlign w:val="center"/>
          </w:tcPr>
          <w:p w14:paraId="44B50F62">
            <w:pPr>
              <w:jc w:val="center"/>
              <w:rPr>
                <w:rFonts w:ascii="Arial" w:hAnsi="Arial" w:cs="Arial"/>
                <w:color w:val="FF0000"/>
                <w:kern w:val="0"/>
                <w:sz w:val="20"/>
                <w:szCs w:val="20"/>
              </w:rPr>
            </w:pPr>
            <w:r>
              <w:rPr>
                <w:rFonts w:hint="default"/>
                <w:sz w:val="22"/>
                <w:szCs w:val="22"/>
                <w:vertAlign w:val="baseline"/>
                <w:lang w:val="en-US" w:eastAsia="zh-CN"/>
              </w:rPr>
              <w:t>接口和连接器</w:t>
            </w:r>
            <w:r>
              <w:rPr>
                <w:rFonts w:hint="eastAsia"/>
                <w:sz w:val="22"/>
                <w:szCs w:val="22"/>
                <w:vertAlign w:val="baseline"/>
                <w:lang w:val="en-US" w:eastAsia="zh-CN"/>
              </w:rPr>
              <w:t>模块</w:t>
            </w:r>
          </w:p>
        </w:tc>
        <w:tc>
          <w:tcPr>
            <w:tcW w:w="7821" w:type="dxa"/>
            <w:shd w:val="clear" w:color="auto" w:fill="auto"/>
            <w:noWrap/>
            <w:vAlign w:val="center"/>
          </w:tcPr>
          <w:p w14:paraId="32EF574A">
            <w:pPr>
              <w:numPr>
                <w:ilvl w:val="0"/>
                <w:numId w:val="7"/>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PCIe 接口：支持 PCIe 4.0 x16 规范，带宽≥64GB/s；</w:t>
            </w:r>
          </w:p>
          <w:p w14:paraId="3205BDA6">
            <w:pPr>
              <w:numPr>
                <w:ilvl w:val="0"/>
                <w:numId w:val="7"/>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NVLink 接口：适配 NVLink 3.0 协议，与互连模块兼容；</w:t>
            </w:r>
          </w:p>
          <w:p w14:paraId="5961B1FC">
            <w:pPr>
              <w:numPr>
                <w:ilvl w:val="0"/>
                <w:numId w:val="7"/>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电源接口：8 针 EPS 12V 电源接口，支持大电流稳定供电；</w:t>
            </w:r>
          </w:p>
          <w:p w14:paraId="3A2943BC">
            <w:pPr>
              <w:numPr>
                <w:ilvl w:val="0"/>
                <w:numId w:val="7"/>
              </w:numPr>
              <w:ind w:left="0" w:leftChars="0" w:firstLine="0" w:firstLineChars="0"/>
              <w:jc w:val="left"/>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风扇接口：4 针 PWM 风扇接口，支持风扇转速智能调控；</w:t>
            </w:r>
          </w:p>
          <w:p w14:paraId="213EDD51">
            <w:pPr>
              <w:numPr>
                <w:ilvl w:val="0"/>
                <w:numId w:val="0"/>
              </w:numPr>
              <w:ind w:left="0" w:leftChars="0" w:firstLine="0" w:firstLineChars="0"/>
              <w:jc w:val="left"/>
              <w:rPr>
                <w:rFonts w:cs="Times New Roman"/>
                <w:sz w:val="24"/>
                <w:szCs w:val="24"/>
              </w:rPr>
            </w:pPr>
            <w:r>
              <w:rPr>
                <w:rFonts w:hint="default" w:ascii="宋体" w:hAnsi="宋体" w:eastAsia="宋体" w:cs="宋体"/>
                <w:sz w:val="20"/>
                <w:szCs w:val="20"/>
                <w:vertAlign w:val="baseline"/>
                <w:lang w:val="en-US" w:eastAsia="zh-CN"/>
              </w:rPr>
              <w:t>5. 接口可靠性：插拔寿命≥1000 次，接触电阻≤50mΩ</w:t>
            </w:r>
          </w:p>
        </w:tc>
        <w:tc>
          <w:tcPr>
            <w:tcW w:w="313" w:type="dxa"/>
            <w:shd w:val="clear" w:color="auto" w:fill="auto"/>
            <w:noWrap/>
            <w:vAlign w:val="center"/>
          </w:tcPr>
          <w:p w14:paraId="76ACE42D">
            <w:pPr>
              <w:jc w:val="center"/>
              <w:rPr>
                <w:rFonts w:ascii="Arial" w:hAnsi="Arial" w:cs="Arial"/>
                <w:color w:val="FF0000"/>
                <w:kern w:val="0"/>
                <w:szCs w:val="21"/>
              </w:rPr>
            </w:pPr>
            <w:r>
              <w:rPr>
                <w:rFonts w:hint="eastAsia"/>
                <w:sz w:val="24"/>
                <w:szCs w:val="24"/>
                <w:vertAlign w:val="baseline"/>
                <w:lang w:val="en-US" w:eastAsia="zh-CN"/>
              </w:rPr>
              <w:t>1</w:t>
            </w:r>
          </w:p>
        </w:tc>
        <w:tc>
          <w:tcPr>
            <w:tcW w:w="465" w:type="dxa"/>
            <w:shd w:val="clear" w:color="auto" w:fill="auto"/>
            <w:noWrap/>
            <w:vAlign w:val="center"/>
          </w:tcPr>
          <w:p w14:paraId="7C8CEB5A">
            <w:pPr>
              <w:jc w:val="center"/>
              <w:rPr>
                <w:rFonts w:ascii="Arial" w:hAnsi="Arial" w:cs="Arial"/>
                <w:color w:val="FF0000"/>
                <w:kern w:val="0"/>
                <w:szCs w:val="21"/>
              </w:rPr>
            </w:pPr>
            <w:r>
              <w:rPr>
                <w:rFonts w:hint="eastAsia"/>
                <w:sz w:val="24"/>
                <w:szCs w:val="24"/>
                <w:vertAlign w:val="baseline"/>
                <w:lang w:val="en-US" w:eastAsia="zh-CN"/>
              </w:rPr>
              <w:t>套</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67" w:type="dxa"/>
            <w:gridSpan w:val="2"/>
            <w:vAlign w:val="center"/>
          </w:tcPr>
          <w:p w14:paraId="53C54A08">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52CEBA40">
            <w:pPr>
              <w:spacing w:line="360" w:lineRule="auto"/>
              <w:jc w:val="left"/>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w:t>
            </w:r>
            <w:r>
              <w:rPr>
                <w:rFonts w:hint="eastAsia" w:cstheme="minorBidi"/>
                <w:kern w:val="2"/>
                <w:sz w:val="21"/>
                <w:szCs w:val="22"/>
                <w:lang w:val="en-US" w:eastAsia="zh-CN" w:bidi="ar-SA"/>
              </w:rPr>
              <w:t>.</w:t>
            </w:r>
            <w:r>
              <w:rPr>
                <w:rFonts w:hint="eastAsia" w:asciiTheme="minorHAnsi" w:hAnsiTheme="minorHAnsi" w:eastAsiaTheme="minorEastAsia" w:cstheme="minorBidi"/>
                <w:kern w:val="2"/>
                <w:sz w:val="21"/>
                <w:szCs w:val="22"/>
                <w:lang w:val="en-US" w:eastAsia="zh-CN" w:bidi="ar-SA"/>
              </w:rPr>
              <w:t>供货时间：自合同签订之日起</w:t>
            </w:r>
            <w:r>
              <w:rPr>
                <w:rFonts w:hint="eastAsia" w:cstheme="minorBidi"/>
                <w:kern w:val="2"/>
                <w:sz w:val="21"/>
                <w:szCs w:val="22"/>
                <w:lang w:val="en-US" w:eastAsia="zh-CN" w:bidi="ar-SA"/>
              </w:rPr>
              <w:t>15</w:t>
            </w:r>
            <w:r>
              <w:rPr>
                <w:rFonts w:hint="eastAsia" w:asciiTheme="minorHAnsi" w:hAnsiTheme="minorHAnsi" w:eastAsiaTheme="minorEastAsia" w:cstheme="minorBidi"/>
                <w:kern w:val="2"/>
                <w:sz w:val="21"/>
                <w:szCs w:val="22"/>
                <w:lang w:val="en-US" w:eastAsia="zh-CN" w:bidi="ar-SA"/>
              </w:rPr>
              <w:t>日内验收合格并交付使用。</w:t>
            </w:r>
          </w:p>
          <w:p w14:paraId="1A9BCFB4">
            <w:pPr>
              <w:spacing w:line="360" w:lineRule="auto"/>
              <w:jc w:val="left"/>
              <w:rPr>
                <w:rFonts w:cs="Times New Roman"/>
                <w:sz w:val="21"/>
                <w:szCs w:val="21"/>
              </w:rPr>
            </w:pPr>
            <w:r>
              <w:rPr>
                <w:rFonts w:hint="eastAsia" w:asciiTheme="minorHAnsi" w:hAnsiTheme="minorHAnsi" w:eastAsiaTheme="minorEastAsia" w:cstheme="minorBidi"/>
                <w:kern w:val="2"/>
                <w:sz w:val="21"/>
                <w:szCs w:val="22"/>
                <w:lang w:val="en-US" w:eastAsia="zh-CN" w:bidi="ar-SA"/>
              </w:rPr>
              <w:t>质保期：自验收合格并交付使用之日起</w:t>
            </w:r>
            <w:r>
              <w:rPr>
                <w:rFonts w:hint="eastAsia" w:cstheme="minorBidi"/>
                <w:kern w:val="2"/>
                <w:sz w:val="21"/>
                <w:szCs w:val="22"/>
                <w:u w:val="single"/>
                <w:lang w:val="en-US" w:eastAsia="zh-CN" w:bidi="ar-SA"/>
              </w:rPr>
              <w:t>3</w:t>
            </w:r>
            <w:r>
              <w:rPr>
                <w:rFonts w:hint="eastAsia" w:asciiTheme="minorHAnsi" w:hAnsiTheme="minorHAnsi" w:eastAsiaTheme="minorEastAsia" w:cstheme="minorBidi"/>
                <w:kern w:val="2"/>
                <w:sz w:val="21"/>
                <w:szCs w:val="22"/>
                <w:lang w:val="en-US" w:eastAsia="zh-CN" w:bidi="ar-SA"/>
              </w:rPr>
              <w:t>年。</w:t>
            </w:r>
          </w:p>
          <w:p w14:paraId="3EF726CB">
            <w:pPr>
              <w:pStyle w:val="7"/>
              <w:jc w:val="left"/>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194BDD33">
            <w:pPr>
              <w:pStyle w:val="7"/>
              <w:jc w:val="left"/>
            </w:pPr>
            <w:r>
              <w:rPr>
                <w:rFonts w:hint="eastAsia" w:ascii="宋体" w:hAnsi="宋体" w:eastAsia="宋体" w:cs="宋体"/>
                <w:sz w:val="20"/>
                <w:szCs w:val="20"/>
                <w:vertAlign w:val="baseline"/>
                <w:lang w:val="en-US" w:eastAsia="zh-CN"/>
              </w:rPr>
              <w:t>项目采购所有模块焊接组装后</w:t>
            </w:r>
            <w:r>
              <w:rPr>
                <w:rFonts w:hint="eastAsia" w:ascii="宋体" w:hAnsi="宋体" w:eastAsia="宋体" w:cs="宋体"/>
                <w:b w:val="0"/>
                <w:bCs w:val="0"/>
                <w:sz w:val="20"/>
                <w:szCs w:val="20"/>
                <w:vertAlign w:val="baseline"/>
                <w:lang w:val="en-US" w:eastAsia="zh-CN"/>
              </w:rPr>
              <w:t>可正常运行</w:t>
            </w:r>
            <w:r>
              <w:rPr>
                <w:rFonts w:hint="eastAsia" w:ascii="宋体" w:hAnsi="宋体" w:eastAsia="宋体" w:cs="宋体"/>
                <w:sz w:val="20"/>
                <w:szCs w:val="20"/>
                <w:vertAlign w:val="baseline"/>
                <w:lang w:val="en-US" w:eastAsia="zh-CN"/>
              </w:rPr>
              <w:t>。</w:t>
            </w:r>
            <w:r>
              <w:rPr>
                <w:rFonts w:hint="eastAsia"/>
              </w:rPr>
              <w:t>完全符合强制性的国家技术质量规范和招标文件规定的质量、规格、性能和技术规范等要求的合格产品（包括所有零部件、元器件和附件）。若产品在运输过程中损坏须无偿调换同样产品，以达到供货要求。</w:t>
            </w:r>
          </w:p>
          <w:p w14:paraId="318799DA">
            <w:pPr>
              <w:pStyle w:val="7"/>
              <w:jc w:val="left"/>
              <w:rPr>
                <w:rFonts w:hint="eastAsia" w:cs="Times New Roman"/>
                <w:sz w:val="21"/>
                <w:szCs w:val="21"/>
              </w:rPr>
            </w:pPr>
            <w:r>
              <w:rPr>
                <w:rFonts w:hint="eastAsia"/>
              </w:rPr>
              <w:t>按国家有关规定报价人承诺实行“三包”（包退、包换、包修）服务，其他售后服务按成交人提交的售后服务承诺书执行。</w:t>
            </w:r>
          </w:p>
          <w:p w14:paraId="583CB988">
            <w:pPr>
              <w:pStyle w:val="7"/>
              <w:jc w:val="left"/>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7"/>
              <w:jc w:val="left"/>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jc w:val="left"/>
              <w:rPr>
                <w:rFonts w:hint="eastAsia" w:cs="Times New Roman"/>
                <w:sz w:val="21"/>
                <w:szCs w:val="21"/>
              </w:rPr>
            </w:pPr>
            <w:r>
              <w:rPr>
                <w:rFonts w:hint="eastAsia" w:cs="Times New Roman"/>
                <w:sz w:val="21"/>
                <w:szCs w:val="21"/>
              </w:rPr>
              <w:t>报价人因未经授权而实施的商业性复制行为构成违约或侵权责任造成采购人损失的，由其承</w:t>
            </w:r>
            <w:r>
              <w:rPr>
                <w:rFonts w:hint="eastAsia" w:cs="Times New Roman"/>
                <w:sz w:val="21"/>
                <w:szCs w:val="21"/>
                <w:lang w:val="en-US" w:eastAsia="zh-CN"/>
              </w:rPr>
              <w:t>担</w:t>
            </w:r>
            <w:r>
              <w:rPr>
                <w:rFonts w:hint="eastAsia" w:cs="Times New Roman"/>
                <w:sz w:val="21"/>
                <w:szCs w:val="21"/>
              </w:rPr>
              <w:t>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w:t>
            </w:r>
            <w:r>
              <w:rPr>
                <w:rFonts w:hint="eastAsia" w:ascii="Arial" w:hAnsi="Arial" w:eastAsia="宋体" w:cs="Arial"/>
                <w:kern w:val="0"/>
                <w:sz w:val="21"/>
                <w:szCs w:val="21"/>
              </w:rPr>
              <w:t>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jc w:val="left"/>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jc w:val="left"/>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jc w:val="left"/>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jc w:val="left"/>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D5F73AF">
            <w:pPr>
              <w:pStyle w:val="7"/>
              <w:spacing w:line="360" w:lineRule="auto"/>
              <w:jc w:val="left"/>
              <w:rPr>
                <w:rFonts w:hint="eastAsia" w:cs="Times New Roman"/>
                <w:sz w:val="21"/>
                <w:szCs w:val="21"/>
              </w:rPr>
            </w:pPr>
            <w:r>
              <w:rPr>
                <w:rFonts w:hint="eastAsia" w:ascii="Arial" w:hAnsi="Arial" w:eastAsia="宋体" w:cs="Arial"/>
                <w:b w:val="0"/>
                <w:bCs/>
                <w:kern w:val="0"/>
                <w:sz w:val="21"/>
                <w:szCs w:val="21"/>
              </w:rPr>
              <w:t>转账时注明：</w:t>
            </w:r>
            <w:r>
              <w:rPr>
                <w:rFonts w:hint="eastAsia" w:ascii="Arial" w:hAnsi="Arial" w:cs="Arial"/>
                <w:bCs/>
                <w:kern w:val="0"/>
                <w:sz w:val="21"/>
                <w:szCs w:val="22"/>
                <w:lang w:bidi="en-US"/>
              </w:rPr>
              <w:t>高集成电子电路板焊接检测维修模块采购</w:t>
            </w:r>
            <w:r>
              <w:rPr>
                <w:rFonts w:hint="eastAsia" w:ascii="Arial" w:hAnsi="Arial" w:eastAsia="宋体" w:cs="Arial"/>
                <w:b w:val="0"/>
                <w:bCs/>
                <w:kern w:val="0"/>
                <w:sz w:val="21"/>
                <w:szCs w:val="21"/>
              </w:rPr>
              <w:t>项目，采购编号</w:t>
            </w:r>
            <w:r>
              <w:rPr>
                <w:rFonts w:hint="eastAsia" w:ascii="Arial" w:hAnsi="Arial" w:eastAsia="宋体" w:cs="Arial"/>
                <w:b/>
                <w:bCs w:val="0"/>
                <w:color w:val="auto"/>
                <w:kern w:val="0"/>
                <w:sz w:val="21"/>
                <w:szCs w:val="21"/>
                <w:lang w:val="en-US" w:eastAsia="zh-CN"/>
              </w:rPr>
              <w:t>LZPU2026-8</w:t>
            </w:r>
            <w:r>
              <w:rPr>
                <w:rFonts w:hint="eastAsia" w:ascii="Arial" w:hAnsi="Arial" w:eastAsia="宋体" w:cs="Arial"/>
                <w:b w:val="0"/>
                <w:bCs/>
                <w:color w:val="auto"/>
                <w:kern w:val="0"/>
                <w:sz w:val="21"/>
                <w:szCs w:val="21"/>
              </w:rPr>
              <w:t xml:space="preserve"> </w:t>
            </w:r>
            <w:r>
              <w:rPr>
                <w:rFonts w:hint="eastAsia" w:ascii="Arial" w:hAnsi="Arial" w:eastAsia="宋体" w:cs="Arial"/>
                <w:b w:val="0"/>
                <w:bCs/>
                <w:kern w:val="0"/>
                <w:sz w:val="21"/>
                <w:szCs w:val="21"/>
              </w:rPr>
              <w:t>履约保证金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jc w:val="left"/>
              <w:rPr>
                <w:rFonts w:hint="eastAsia" w:cs="Times New Roman"/>
                <w:b/>
                <w:bCs/>
                <w:sz w:val="21"/>
                <w:szCs w:val="21"/>
                <w:lang w:val="en-US" w:eastAsia="zh-CN"/>
              </w:rPr>
            </w:pPr>
            <w:r>
              <w:rPr>
                <w:rFonts w:hint="eastAsia" w:cs="Times New Roman"/>
                <w:b/>
                <w:bCs/>
                <w:sz w:val="21"/>
                <w:szCs w:val="21"/>
                <w:lang w:val="en-US" w:eastAsia="zh-CN"/>
              </w:rPr>
              <w:t>6.验收要求</w:t>
            </w:r>
          </w:p>
          <w:p w14:paraId="5CB4ACEA">
            <w:pPr>
              <w:pStyle w:val="7"/>
              <w:jc w:val="left"/>
              <w:rPr>
                <w:rFonts w:hint="eastAsia" w:cs="Times New Roman"/>
                <w:sz w:val="21"/>
                <w:szCs w:val="21"/>
                <w:lang w:val="en-US" w:eastAsia="zh-CN"/>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59806684">
            <w:pPr>
              <w:pStyle w:val="7"/>
              <w:jc w:val="left"/>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7A65037">
            <w:pPr>
              <w:pStyle w:val="7"/>
              <w:jc w:val="left"/>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jc w:val="left"/>
              <w:rPr>
                <w:rFonts w:hint="eastAsia" w:cs="Times New Roman"/>
                <w:sz w:val="21"/>
                <w:szCs w:val="21"/>
                <w:highlight w:val="none"/>
                <w:lang w:val="en-US" w:eastAsia="zh-CN"/>
              </w:rPr>
            </w:pPr>
            <w:r>
              <w:rPr>
                <w:rFonts w:hint="eastAsia" w:cs="Times New Roman"/>
                <w:sz w:val="21"/>
                <w:szCs w:val="21"/>
                <w:lang w:val="en-US" w:eastAsia="zh-CN"/>
              </w:rPr>
              <w:t>（4）</w:t>
            </w:r>
            <w:r>
              <w:rPr>
                <w:rFonts w:hint="default" w:ascii="Calibri" w:hAnsi="Calibri" w:cs="Calibri"/>
                <w:sz w:val="21"/>
                <w:szCs w:val="21"/>
                <w:lang w:val="en-US" w:eastAsia="zh-CN"/>
              </w:rPr>
              <w:t>①</w:t>
            </w:r>
            <w:r>
              <w:rPr>
                <w:rFonts w:hint="eastAsia"/>
                <w:highlight w:val="none"/>
                <w:lang w:val="en-US" w:eastAsia="zh-CN"/>
              </w:rPr>
              <w:t>货物到货后，</w:t>
            </w:r>
            <w:r>
              <w:rPr>
                <w:rFonts w:hint="eastAsia" w:cs="Times New Roman"/>
                <w:sz w:val="21"/>
                <w:szCs w:val="21"/>
                <w:highlight w:val="none"/>
                <w:lang w:val="en-US" w:eastAsia="zh-CN"/>
              </w:rPr>
              <w:t>采购人组成验收小组按国家有关规定、规范对各模块进行初步验收，</w:t>
            </w:r>
            <w:r>
              <w:rPr>
                <w:rFonts w:hint="eastAsia" w:cs="Times New Roman"/>
                <w:sz w:val="21"/>
                <w:szCs w:val="21"/>
                <w:lang w:val="en-US" w:eastAsia="zh-CN"/>
              </w:rPr>
              <w:t>如中标供应商在报价文件中有承诺正偏离的应按其正偏离内容执行（包括参数功能、培训、售后服务及服务年限）。若产品在运输过程中损坏或擦伤须无偿调换相同产品</w:t>
            </w:r>
            <w:r>
              <w:rPr>
                <w:rFonts w:hint="eastAsia" w:cs="Times New Roman"/>
                <w:sz w:val="21"/>
                <w:szCs w:val="21"/>
                <w:highlight w:val="none"/>
                <w:lang w:val="en-US" w:eastAsia="zh-CN"/>
              </w:rPr>
              <w:t>；</w:t>
            </w:r>
            <w:r>
              <w:rPr>
                <w:rFonts w:hint="default" w:ascii="Calibri" w:hAnsi="Calibri" w:cs="Calibri"/>
                <w:sz w:val="21"/>
                <w:szCs w:val="21"/>
                <w:highlight w:val="none"/>
                <w:lang w:val="en-US" w:eastAsia="zh-CN"/>
              </w:rPr>
              <w:t>②</w:t>
            </w:r>
            <w:r>
              <w:rPr>
                <w:rFonts w:hint="eastAsia" w:cs="Times New Roman"/>
                <w:sz w:val="21"/>
                <w:szCs w:val="21"/>
                <w:highlight w:val="none"/>
                <w:lang w:val="en-US" w:eastAsia="zh-CN"/>
              </w:rPr>
              <w:t>初步验收通过后</w:t>
            </w:r>
            <w:r>
              <w:rPr>
                <w:rFonts w:hint="eastAsia"/>
                <w:highlight w:val="none"/>
                <w:lang w:val="en-US" w:eastAsia="zh-CN"/>
              </w:rPr>
              <w:t>在中标供货商的技术人员指导下进行焊接组装，确保焊接规范使用可靠，焊接完成后整套成品进行累计运行时间不超过72小时的试运行，以确认所供货物（含硬件、软件及服务）功能参数、兼容性及 稳定性符合标准达到正式验收条件，在试运行期间出现问题供应商应在接到采购人书面反馈后三日内解决，在解决问题前此项目仍视为尚未完成安装调试。如造成正式验收验收合格交付时间超过合同约定的按合同相关条款执行。</w:t>
            </w:r>
            <w:r>
              <w:rPr>
                <w:rFonts w:hint="default" w:ascii="Calibri" w:hAnsi="Calibri" w:cs="Calibri"/>
                <w:highlight w:val="none"/>
                <w:lang w:val="en-US" w:eastAsia="zh-CN"/>
              </w:rPr>
              <w:t>③</w:t>
            </w:r>
            <w:r>
              <w:rPr>
                <w:rFonts w:hint="eastAsia"/>
                <w:highlight w:val="none"/>
                <w:lang w:val="en-US" w:eastAsia="zh-CN"/>
              </w:rPr>
              <w:t xml:space="preserve"> </w:t>
            </w:r>
            <w:r>
              <w:rPr>
                <w:rFonts w:hint="eastAsia" w:cs="Times New Roman"/>
                <w:sz w:val="21"/>
                <w:szCs w:val="21"/>
                <w:highlight w:val="none"/>
                <w:lang w:val="en-US" w:eastAsia="zh-CN"/>
              </w:rPr>
              <w:t>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jc w:val="left"/>
              <w:rPr>
                <w:rFonts w:hint="eastAsia" w:cs="Times New Roman"/>
                <w:sz w:val="21"/>
                <w:szCs w:val="21"/>
                <w:lang w:val="en-US" w:eastAsia="zh-CN"/>
              </w:rPr>
            </w:pPr>
            <w:r>
              <w:rPr>
                <w:rFonts w:hint="eastAsia" w:cs="Times New Roman"/>
                <w:sz w:val="21"/>
                <w:szCs w:val="21"/>
                <w:highlight w:val="none"/>
                <w:lang w:val="en-US" w:eastAsia="zh-CN"/>
              </w:rPr>
              <w:t>（5）</w:t>
            </w:r>
            <w:r>
              <w:rPr>
                <w:rFonts w:hint="eastAsia"/>
                <w:highlight w:val="none"/>
                <w:lang w:val="en-US" w:eastAsia="zh-CN"/>
              </w:rPr>
              <w:t>方可进行验收，若无法满足要求采购人可以终止项目，中标供应商须承担相应违约责任。</w:t>
            </w:r>
            <w:r>
              <w:rPr>
                <w:rFonts w:hint="eastAsia" w:cs="Times New Roman"/>
                <w:sz w:val="21"/>
                <w:szCs w:val="21"/>
                <w:highlight w:val="none"/>
                <w:lang w:val="en-US" w:eastAsia="zh-CN"/>
              </w:rPr>
              <w:t>报价人在报价时自行考虑。中标供应商必须依照采购文件的要求和应标文件的承诺，将设备、系统安装并调试至正常运行的最佳状态，并完成采购人的人员培训方可申</w:t>
            </w:r>
            <w:r>
              <w:rPr>
                <w:rFonts w:hint="eastAsia" w:cs="Times New Roman"/>
                <w:sz w:val="21"/>
                <w:szCs w:val="21"/>
                <w:lang w:val="en-US" w:eastAsia="zh-CN"/>
              </w:rPr>
              <w:t>请采购人正式验收。</w:t>
            </w:r>
          </w:p>
          <w:p w14:paraId="53F20393">
            <w:pPr>
              <w:pStyle w:val="7"/>
              <w:jc w:val="left"/>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w:t>
            </w:r>
          </w:p>
          <w:p w14:paraId="1C6939DC">
            <w:pPr>
              <w:widowControl/>
              <w:jc w:val="left"/>
              <w:rPr>
                <w:rFonts w:hint="default" w:cs="Times New Roman"/>
                <w:sz w:val="21"/>
                <w:szCs w:val="21"/>
                <w:lang w:val="en-US" w:eastAsia="zh-CN"/>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w:t>
      </w:r>
      <w:r>
        <w:rPr>
          <w:rFonts w:hint="eastAsia" w:asciiTheme="majorEastAsia" w:hAnsiTheme="majorEastAsia" w:eastAsiaTheme="majorEastAsia" w:cstheme="majorEastAsia"/>
          <w:color w:val="000000"/>
          <w:kern w:val="0"/>
          <w:sz w:val="24"/>
          <w:szCs w:val="28"/>
          <w:lang w:val="en-US" w:eastAsia="zh-CN"/>
        </w:rPr>
        <w:t>人</w:t>
      </w:r>
      <w:r>
        <w:rPr>
          <w:rFonts w:hint="eastAsia" w:asciiTheme="majorEastAsia" w:hAnsiTheme="majorEastAsia" w:eastAsiaTheme="majorEastAsia" w:cstheme="majorEastAsia"/>
          <w:color w:val="000000"/>
          <w:kern w:val="0"/>
          <w:sz w:val="24"/>
          <w:szCs w:val="28"/>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default" w:ascii="Calibri" w:hAnsi="Calibri" w:cs="Calibri" w:eastAsiaTheme="majorEastAsia"/>
          <w:b/>
          <w:color w:val="auto"/>
          <w:sz w:val="21"/>
          <w:szCs w:val="21"/>
          <w:highlight w:val="none"/>
        </w:rPr>
        <w:t>①</w:t>
      </w:r>
      <w:r>
        <w:rPr>
          <w:rFonts w:hint="eastAsia" w:asciiTheme="majorEastAsia" w:hAnsiTheme="majorEastAsia" w:eastAsiaTheme="majorEastAsia" w:cstheme="majorEastAsia"/>
          <w:b/>
          <w:color w:val="auto"/>
          <w:sz w:val="21"/>
          <w:szCs w:val="21"/>
          <w:highlight w:val="none"/>
        </w:rPr>
        <w:t>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default" w:ascii="Calibri" w:hAnsi="Calibri" w:cs="Calibri" w:eastAsiaTheme="majorEastAsia"/>
          <w:b/>
          <w:color w:val="auto"/>
          <w:sz w:val="21"/>
          <w:szCs w:val="21"/>
          <w:highlight w:val="none"/>
        </w:rPr>
        <w:t>②</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8"/>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40"/>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3</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20</w:t>
      </w:r>
      <w:r>
        <w:rPr>
          <w:rFonts w:hint="eastAsia" w:asciiTheme="majorEastAsia" w:hAnsiTheme="majorEastAsia" w:eastAsiaTheme="majorEastAsia" w:cstheme="majorEastAsia"/>
          <w:b/>
          <w:bCs/>
          <w:color w:val="auto"/>
          <w:sz w:val="24"/>
          <w:szCs w:val="24"/>
          <w:highlight w:val="none"/>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9"/>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 w:val="0"/>
          <w:bCs w:val="0"/>
          <w:color w:val="auto"/>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val="0"/>
          <w:color w:val="auto"/>
          <w:kern w:val="0"/>
          <w:sz w:val="24"/>
          <w:szCs w:val="28"/>
          <w:lang w:val="en-US" w:eastAsia="zh-CN" w:bidi="en-US"/>
        </w:rPr>
        <w:t>严老师</w:t>
      </w:r>
      <w:r>
        <w:rPr>
          <w:rFonts w:hint="eastAsia" w:asciiTheme="majorEastAsia" w:hAnsiTheme="majorEastAsia" w:eastAsiaTheme="majorEastAsia" w:cstheme="majorEastAsia"/>
          <w:b w:val="0"/>
          <w:bCs w:val="0"/>
          <w:color w:val="auto"/>
          <w:kern w:val="0"/>
          <w:sz w:val="24"/>
          <w:szCs w:val="28"/>
          <w:lang w:bidi="en-US"/>
        </w:rPr>
        <w:t xml:space="preserve">     联系电话：</w:t>
      </w:r>
      <w:r>
        <w:rPr>
          <w:rFonts w:hint="eastAsia" w:asciiTheme="majorEastAsia" w:hAnsiTheme="majorEastAsia" w:eastAsiaTheme="majorEastAsia" w:cstheme="majorEastAsia"/>
          <w:b w:val="0"/>
          <w:bCs w:val="0"/>
          <w:color w:val="auto"/>
          <w:kern w:val="0"/>
          <w:sz w:val="24"/>
          <w:szCs w:val="28"/>
          <w:lang w:val="en-US" w:eastAsia="zh-CN" w:bidi="en-US"/>
        </w:rPr>
        <w:t>18577205741</w:t>
      </w:r>
      <w:r>
        <w:rPr>
          <w:rFonts w:hint="eastAsia" w:asciiTheme="majorEastAsia" w:hAnsiTheme="majorEastAsia" w:eastAsiaTheme="majorEastAsia" w:cstheme="majorEastAsia"/>
          <w:b w:val="0"/>
          <w:bCs w:val="0"/>
          <w:color w:val="auto"/>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lang w:val="en-US" w:eastAsia="zh-CN"/>
        </w:rPr>
        <w:t>3</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12</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A21A0D8">
      <w:pPr>
        <w:pStyle w:val="7"/>
      </w:pPr>
    </w:p>
    <w:p w14:paraId="06BC2FAC">
      <w:pPr>
        <w:pStyle w:val="7"/>
      </w:pPr>
    </w:p>
    <w:p w14:paraId="1393B510">
      <w:pPr>
        <w:pStyle w:val="7"/>
      </w:pPr>
    </w:p>
    <w:p w14:paraId="5EDDF777">
      <w:pPr>
        <w:pStyle w:val="7"/>
      </w:pPr>
    </w:p>
    <w:p w14:paraId="5DFED288">
      <w:pPr>
        <w:pStyle w:val="7"/>
      </w:pPr>
    </w:p>
    <w:p w14:paraId="20EEEDA1">
      <w:pPr>
        <w:pStyle w:val="7"/>
      </w:pPr>
    </w:p>
    <w:p w14:paraId="3F36C375">
      <w:pPr>
        <w:pStyle w:val="7"/>
      </w:pPr>
    </w:p>
    <w:p w14:paraId="4F6F5FA7">
      <w:pPr>
        <w:pStyle w:val="7"/>
      </w:pPr>
    </w:p>
    <w:p w14:paraId="2B55767D">
      <w:pPr>
        <w:pStyle w:val="7"/>
      </w:pPr>
    </w:p>
    <w:p w14:paraId="6BCEF0FB">
      <w:pPr>
        <w:pStyle w:val="7"/>
      </w:pPr>
    </w:p>
    <w:p w14:paraId="3097BB4A">
      <w:pPr>
        <w:pStyle w:val="7"/>
      </w:pPr>
    </w:p>
    <w:p w14:paraId="069C23A9">
      <w:pPr>
        <w:pStyle w:val="7"/>
      </w:pPr>
    </w:p>
    <w:p w14:paraId="39E907EF">
      <w:pPr>
        <w:pStyle w:val="7"/>
      </w:pPr>
    </w:p>
    <w:p w14:paraId="62EDB1EF">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107424598"/>
      <w:bookmarkStart w:id="1" w:name="_Toc254970697"/>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4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52E8417B">
      <w:pPr>
        <w:jc w:val="left"/>
        <w:outlineLvl w:val="1"/>
        <w:rPr>
          <w:rFonts w:hint="eastAsia" w:ascii="仿宋" w:hAnsi="仿宋" w:eastAsia="仿宋" w:cs="Times New Roman"/>
          <w:b/>
          <w:sz w:val="32"/>
          <w:szCs w:val="32"/>
          <w:lang w:val="en-US" w:eastAsia="zh-CN"/>
        </w:rPr>
      </w:pPr>
    </w:p>
    <w:p w14:paraId="7299D7E1">
      <w:pPr>
        <w:jc w:val="left"/>
        <w:outlineLvl w:val="1"/>
        <w:rPr>
          <w:rFonts w:hint="eastAsia" w:ascii="仿宋" w:hAnsi="仿宋" w:eastAsia="仿宋" w:cs="Times New Roman"/>
          <w:b/>
          <w:sz w:val="32"/>
          <w:szCs w:val="32"/>
          <w:lang w:val="en-US" w:eastAsia="zh-CN"/>
        </w:rPr>
      </w:pPr>
    </w:p>
    <w:p w14:paraId="4E82FB10">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10"/>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6E46C3B2">
      <w:pPr>
        <w:pStyle w:val="7"/>
        <w:jc w:val="left"/>
      </w:pPr>
      <w:bookmarkStart w:id="55" w:name="_GoBack"/>
      <w:bookmarkEnd w:id="55"/>
    </w:p>
    <w:p w14:paraId="22258FB4">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405905876"/>
            <w:bookmarkStart w:id="6" w:name="_Toc171349578"/>
            <w:bookmarkStart w:id="7" w:name="_Toc173066401"/>
            <w:bookmarkStart w:id="8" w:name="_Toc173211900"/>
            <w:bookmarkStart w:id="9" w:name="_Toc254970588"/>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405905879"/>
            <w:bookmarkStart w:id="12" w:name="_Toc173066404"/>
            <w:bookmarkStart w:id="13" w:name="_Toc171349581"/>
            <w:bookmarkStart w:id="14" w:name="_Toc254970591"/>
            <w:bookmarkStart w:id="15" w:name="_Toc173211903"/>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171349582"/>
            <w:bookmarkStart w:id="18" w:name="_Toc173066405"/>
            <w:bookmarkStart w:id="19" w:name="_Toc173211904"/>
            <w:bookmarkStart w:id="20" w:name="_Toc254970592"/>
            <w:bookmarkStart w:id="21" w:name="_Toc405905880"/>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173066406"/>
            <w:bookmarkStart w:id="26" w:name="_Toc405905882"/>
            <w:bookmarkStart w:id="27" w:name="_Toc254970734"/>
            <w:bookmarkStart w:id="28" w:name="_Toc171349584"/>
            <w:bookmarkStart w:id="29" w:name="_Toc254970593"/>
            <w:bookmarkStart w:id="30" w:name="_Toc173211905"/>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173211906"/>
            <w:bookmarkStart w:id="32" w:name="_Toc254970594"/>
            <w:bookmarkStart w:id="33" w:name="_Toc254970735"/>
            <w:bookmarkStart w:id="34" w:name="_Toc171349585"/>
            <w:bookmarkStart w:id="35" w:name="_Toc173066407"/>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3211907"/>
            <w:bookmarkStart w:id="38" w:name="_Toc254970736"/>
            <w:bookmarkStart w:id="39" w:name="_Toc254970595"/>
            <w:bookmarkStart w:id="40" w:name="_Toc171349586"/>
            <w:bookmarkStart w:id="41" w:name="_Toc173066408"/>
            <w:bookmarkStart w:id="42" w:name="_Toc405905884"/>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EE56D"/>
    <w:multiLevelType w:val="singleLevel"/>
    <w:tmpl w:val="CFEEE56D"/>
    <w:lvl w:ilvl="0" w:tentative="0">
      <w:start w:val="1"/>
      <w:numFmt w:val="decimal"/>
      <w:suff w:val="space"/>
      <w:lvlText w:val="%1."/>
      <w:lvlJc w:val="left"/>
    </w:lvl>
  </w:abstractNum>
  <w:abstractNum w:abstractNumId="1">
    <w:nsid w:val="F16B4722"/>
    <w:multiLevelType w:val="singleLevel"/>
    <w:tmpl w:val="F16B4722"/>
    <w:lvl w:ilvl="0" w:tentative="0">
      <w:start w:val="1"/>
      <w:numFmt w:val="decimal"/>
      <w:suff w:val="space"/>
      <w:lvlText w:val="%1."/>
      <w:lvlJc w:val="left"/>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1D0B8F28"/>
    <w:multiLevelType w:val="singleLevel"/>
    <w:tmpl w:val="1D0B8F28"/>
    <w:lvl w:ilvl="0" w:tentative="0">
      <w:start w:val="1"/>
      <w:numFmt w:val="decimal"/>
      <w:suff w:val="space"/>
      <w:lvlText w:val="%1."/>
      <w:lvlJc w:val="left"/>
    </w:lvl>
  </w:abstractNum>
  <w:abstractNum w:abstractNumId="4">
    <w:nsid w:val="2F279ECF"/>
    <w:multiLevelType w:val="singleLevel"/>
    <w:tmpl w:val="2F279ECF"/>
    <w:lvl w:ilvl="0" w:tentative="0">
      <w:start w:val="1"/>
      <w:numFmt w:val="decimal"/>
      <w:suff w:val="space"/>
      <w:lvlText w:val="%1."/>
      <w:lvlJc w:val="left"/>
    </w:lvl>
  </w:abstractNum>
  <w:abstractNum w:abstractNumId="5">
    <w:nsid w:val="442756B7"/>
    <w:multiLevelType w:val="singleLevel"/>
    <w:tmpl w:val="442756B7"/>
    <w:lvl w:ilvl="0" w:tentative="0">
      <w:start w:val="2"/>
      <w:numFmt w:val="chineseCounting"/>
      <w:suff w:val="nothing"/>
      <w:lvlText w:val="%1、"/>
      <w:lvlJc w:val="left"/>
      <w:rPr>
        <w:rFonts w:hint="eastAsia"/>
      </w:rPr>
    </w:lvl>
  </w:abstractNum>
  <w:abstractNum w:abstractNumId="6">
    <w:nsid w:val="4A3A3DC5"/>
    <w:multiLevelType w:val="singleLevel"/>
    <w:tmpl w:val="4A3A3DC5"/>
    <w:lvl w:ilvl="0" w:tentative="0">
      <w:start w:val="1"/>
      <w:numFmt w:val="decimal"/>
      <w:suff w:val="space"/>
      <w:lvlText w:val="%1."/>
      <w:lvlJc w:val="left"/>
    </w:lvl>
  </w:abstractNum>
  <w:abstractNum w:abstractNumId="7">
    <w:nsid w:val="5876B025"/>
    <w:multiLevelType w:val="singleLevel"/>
    <w:tmpl w:val="5876B025"/>
    <w:lvl w:ilvl="0" w:tentative="0">
      <w:start w:val="1"/>
      <w:numFmt w:val="decimal"/>
      <w:suff w:val="space"/>
      <w:lvlText w:val="%1."/>
      <w:lvlJc w:val="left"/>
    </w:lvl>
  </w:abstractNum>
  <w:abstractNum w:abstractNumId="8">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9">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0"/>
  </w:num>
  <w:num w:numId="3">
    <w:abstractNumId w:val="3"/>
  </w:num>
  <w:num w:numId="4">
    <w:abstractNumId w:val="7"/>
  </w:num>
  <w:num w:numId="5">
    <w:abstractNumId w:val="6"/>
  </w:num>
  <w:num w:numId="6">
    <w:abstractNumId w:val="1"/>
  </w:num>
  <w:num w:numId="7">
    <w:abstractNumId w:val="4"/>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3274"/>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5B955A9"/>
    <w:rsid w:val="0C911AFA"/>
    <w:rsid w:val="0DE15120"/>
    <w:rsid w:val="0F7909A8"/>
    <w:rsid w:val="0FE93A22"/>
    <w:rsid w:val="105D1B31"/>
    <w:rsid w:val="15BD05F5"/>
    <w:rsid w:val="1A4772B8"/>
    <w:rsid w:val="1A675CCB"/>
    <w:rsid w:val="1AAB0964"/>
    <w:rsid w:val="1ACB0CA6"/>
    <w:rsid w:val="1B912C21"/>
    <w:rsid w:val="1C9F23DA"/>
    <w:rsid w:val="1D2D73DF"/>
    <w:rsid w:val="1F2D6B06"/>
    <w:rsid w:val="1F752E36"/>
    <w:rsid w:val="22A52928"/>
    <w:rsid w:val="232B2612"/>
    <w:rsid w:val="234A77AC"/>
    <w:rsid w:val="25161E14"/>
    <w:rsid w:val="252218B8"/>
    <w:rsid w:val="259A75DB"/>
    <w:rsid w:val="25EA35B4"/>
    <w:rsid w:val="2B474184"/>
    <w:rsid w:val="2B5B3134"/>
    <w:rsid w:val="2C8F0B18"/>
    <w:rsid w:val="303A0730"/>
    <w:rsid w:val="316424EB"/>
    <w:rsid w:val="33194A17"/>
    <w:rsid w:val="375D45AA"/>
    <w:rsid w:val="37FC2926"/>
    <w:rsid w:val="39124E76"/>
    <w:rsid w:val="397451B3"/>
    <w:rsid w:val="3D271595"/>
    <w:rsid w:val="3E2A6586"/>
    <w:rsid w:val="40A908BA"/>
    <w:rsid w:val="41117890"/>
    <w:rsid w:val="4AB3020D"/>
    <w:rsid w:val="4AF45CC5"/>
    <w:rsid w:val="4C491D08"/>
    <w:rsid w:val="4C8448CF"/>
    <w:rsid w:val="4D685148"/>
    <w:rsid w:val="521E7E90"/>
    <w:rsid w:val="542E6F5F"/>
    <w:rsid w:val="5C1C2E1C"/>
    <w:rsid w:val="5DFD28D7"/>
    <w:rsid w:val="5E0E5BC8"/>
    <w:rsid w:val="5EC6574C"/>
    <w:rsid w:val="63772297"/>
    <w:rsid w:val="63EE34BC"/>
    <w:rsid w:val="665F74AA"/>
    <w:rsid w:val="68A43AD7"/>
    <w:rsid w:val="6A010AD4"/>
    <w:rsid w:val="6A5B3450"/>
    <w:rsid w:val="6C1A549F"/>
    <w:rsid w:val="6EE76CD6"/>
    <w:rsid w:val="7066285B"/>
    <w:rsid w:val="70BA2651"/>
    <w:rsid w:val="71995F66"/>
    <w:rsid w:val="733A21E7"/>
    <w:rsid w:val="75106CE6"/>
    <w:rsid w:val="75822D8C"/>
    <w:rsid w:val="75AA195E"/>
    <w:rsid w:val="76870A83"/>
    <w:rsid w:val="78B13A9F"/>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30"/>
    <w:semiHidden/>
    <w:unhideWhenUsed/>
    <w:qFormat/>
    <w:uiPriority w:val="99"/>
    <w:pPr>
      <w:jc w:val="left"/>
    </w:pPr>
  </w:style>
  <w:style w:type="paragraph" w:styleId="7">
    <w:name w:val="Body Text"/>
    <w:basedOn w:val="1"/>
    <w:link w:val="24"/>
    <w:unhideWhenUsed/>
    <w:qFormat/>
    <w:uiPriority w:val="99"/>
    <w:pPr>
      <w:spacing w:after="120"/>
    </w:pPr>
  </w:style>
  <w:style w:type="paragraph" w:styleId="8">
    <w:name w:val="Plain Text"/>
    <w:basedOn w:val="1"/>
    <w:next w:val="9"/>
    <w:link w:val="35"/>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2"/>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1"/>
    <w:semiHidden/>
    <w:unhideWhenUsed/>
    <w:qFormat/>
    <w:uiPriority w:val="99"/>
    <w:rPr>
      <w:b/>
      <w:bCs/>
    </w:rPr>
  </w:style>
  <w:style w:type="paragraph" w:styleId="16">
    <w:name w:val="Body Text First Indent"/>
    <w:basedOn w:val="7"/>
    <w:link w:val="25"/>
    <w:unhideWhenUsed/>
    <w:qFormat/>
    <w:uiPriority w:val="99"/>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unhideWhenUsed/>
    <w:qFormat/>
    <w:uiPriority w:val="99"/>
    <w:rPr>
      <w:sz w:val="21"/>
      <w:szCs w:val="21"/>
    </w:rPr>
  </w:style>
  <w:style w:type="paragraph" w:styleId="23">
    <w:name w:val="List Paragraph"/>
    <w:basedOn w:val="1"/>
    <w:qFormat/>
    <w:uiPriority w:val="34"/>
    <w:pPr>
      <w:ind w:firstLine="420" w:firstLineChars="200"/>
    </w:pPr>
    <w:rPr>
      <w:rFonts w:ascii="Times New Roman" w:hAnsi="Times New Roman" w:eastAsia="宋体" w:cs="Times New Roman"/>
      <w:szCs w:val="24"/>
    </w:rPr>
  </w:style>
  <w:style w:type="character" w:customStyle="1" w:styleId="24">
    <w:name w:val="正文文本 Char"/>
    <w:basedOn w:val="19"/>
    <w:link w:val="7"/>
    <w:qFormat/>
    <w:uiPriority w:val="99"/>
  </w:style>
  <w:style w:type="character" w:customStyle="1" w:styleId="25">
    <w:name w:val="正文首行缩进 Char"/>
    <w:basedOn w:val="24"/>
    <w:link w:val="16"/>
    <w:qFormat/>
    <w:uiPriority w:val="99"/>
  </w:style>
  <w:style w:type="character" w:customStyle="1" w:styleId="26">
    <w:name w:val="标题 1 Char"/>
    <w:basedOn w:val="19"/>
    <w:link w:val="2"/>
    <w:qFormat/>
    <w:uiPriority w:val="9"/>
    <w:rPr>
      <w:b/>
      <w:bCs/>
      <w:kern w:val="44"/>
      <w:sz w:val="44"/>
      <w:szCs w:val="44"/>
    </w:rPr>
  </w:style>
  <w:style w:type="character" w:customStyle="1" w:styleId="27">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8">
    <w:name w:val="页眉 Char"/>
    <w:basedOn w:val="19"/>
    <w:link w:val="12"/>
    <w:qFormat/>
    <w:uiPriority w:val="99"/>
    <w:rPr>
      <w:rFonts w:asciiTheme="minorHAnsi" w:hAnsiTheme="minorHAnsi" w:eastAsiaTheme="minorEastAsia" w:cstheme="minorBidi"/>
      <w:kern w:val="2"/>
      <w:sz w:val="18"/>
      <w:szCs w:val="18"/>
    </w:rPr>
  </w:style>
  <w:style w:type="character" w:customStyle="1" w:styleId="29">
    <w:name w:val="页脚 Char"/>
    <w:basedOn w:val="19"/>
    <w:link w:val="11"/>
    <w:qFormat/>
    <w:uiPriority w:val="99"/>
    <w:rPr>
      <w:rFonts w:asciiTheme="minorHAnsi" w:hAnsiTheme="minorHAnsi" w:eastAsiaTheme="minorEastAsia" w:cstheme="minorBidi"/>
      <w:kern w:val="2"/>
      <w:sz w:val="18"/>
      <w:szCs w:val="18"/>
    </w:rPr>
  </w:style>
  <w:style w:type="character" w:customStyle="1" w:styleId="30">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15"/>
    <w:semiHidden/>
    <w:qFormat/>
    <w:uiPriority w:val="99"/>
    <w:rPr>
      <w:rFonts w:asciiTheme="minorHAnsi" w:hAnsiTheme="minorHAnsi" w:eastAsiaTheme="minorEastAsia" w:cstheme="minorBidi"/>
      <w:b/>
      <w:bCs/>
      <w:kern w:val="2"/>
      <w:sz w:val="21"/>
      <w:szCs w:val="22"/>
    </w:rPr>
  </w:style>
  <w:style w:type="character" w:customStyle="1" w:styleId="32">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3">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4">
    <w:name w:val="标题 3 Char"/>
    <w:basedOn w:val="19"/>
    <w:link w:val="4"/>
    <w:semiHidden/>
    <w:qFormat/>
    <w:uiPriority w:val="9"/>
    <w:rPr>
      <w:b/>
      <w:bCs/>
      <w:kern w:val="2"/>
      <w:sz w:val="32"/>
      <w:szCs w:val="32"/>
    </w:rPr>
  </w:style>
  <w:style w:type="character" w:customStyle="1" w:styleId="35">
    <w:name w:val="纯文本 Char"/>
    <w:link w:val="8"/>
    <w:qFormat/>
    <w:uiPriority w:val="99"/>
    <w:rPr>
      <w:rFonts w:ascii="宋体" w:hAnsi="Courier New"/>
      <w:kern w:val="2"/>
      <w:sz w:val="21"/>
      <w:szCs w:val="22"/>
    </w:rPr>
  </w:style>
  <w:style w:type="paragraph" w:customStyle="1" w:styleId="36">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7">
    <w:name w:val="纯文本 Char1"/>
    <w:semiHidden/>
    <w:qFormat/>
    <w:locked/>
    <w:uiPriority w:val="0"/>
    <w:rPr>
      <w:rFonts w:ascii="宋体" w:hAnsi="Courier New" w:eastAsia="宋体" w:cs="Times New Roman"/>
      <w:lang w:val="zh-CN" w:eastAsia="zh-CN"/>
    </w:rPr>
  </w:style>
  <w:style w:type="paragraph" w:customStyle="1" w:styleId="38">
    <w:name w:val="标题3（正文）"/>
    <w:basedOn w:val="1"/>
    <w:next w:val="39"/>
    <w:qFormat/>
    <w:uiPriority w:val="0"/>
    <w:pPr>
      <w:outlineLvl w:val="2"/>
    </w:pPr>
    <w:rPr>
      <w:b/>
    </w:rPr>
  </w:style>
  <w:style w:type="paragraph" w:customStyle="1" w:styleId="39">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40">
    <w:name w:val="标题2"/>
    <w:basedOn w:val="1"/>
    <w:next w:val="1"/>
    <w:qFormat/>
    <w:uiPriority w:val="0"/>
    <w:pPr>
      <w:ind w:firstLine="0" w:firstLineChars="0"/>
      <w:outlineLvl w:val="1"/>
    </w:pPr>
    <w:rPr>
      <w:b/>
    </w:rPr>
  </w:style>
  <w:style w:type="paragraph" w:customStyle="1" w:styleId="41">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7545</Words>
  <Characters>7984</Characters>
  <Lines>46</Lines>
  <Paragraphs>13</Paragraphs>
  <TotalTime>22</TotalTime>
  <ScaleCrop>false</ScaleCrop>
  <LinksUpToDate>false</LinksUpToDate>
  <CharactersWithSpaces>9498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2026-03-12T08:32:39Z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9524948B977645F9A6B266657EFD5749_12</vt:lpwstr>
  </property>
</Properties>
</file>