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4D0DD64">
      <w:pPr>
        <w:spacing w:line="520" w:lineRule="exact"/>
        <w:jc w:val="center"/>
        <w:rPr>
          <w:rFonts w:hint="eastAsia" w:asciiTheme="minorEastAsia" w:hAnsiTheme="minorEastAsia" w:cstheme="minorEastAsia"/>
          <w:b/>
          <w:kern w:val="0"/>
          <w:sz w:val="28"/>
          <w:szCs w:val="32"/>
          <w:lang w:bidi="en-US"/>
        </w:rPr>
      </w:pPr>
      <w:r>
        <w:rPr>
          <w:rFonts w:hint="eastAsia" w:asciiTheme="minorEastAsia" w:hAnsiTheme="minorEastAsia" w:cstheme="minorEastAsia"/>
          <w:b/>
          <w:kern w:val="0"/>
          <w:sz w:val="28"/>
          <w:szCs w:val="32"/>
          <w:lang w:bidi="en-US"/>
        </w:rPr>
        <w:t>柳州职业技术大学</w:t>
      </w:r>
    </w:p>
    <w:p w14:paraId="5BC9ED3A">
      <w:pPr>
        <w:spacing w:line="520" w:lineRule="exact"/>
        <w:jc w:val="center"/>
        <w:rPr>
          <w:rFonts w:hint="eastAsia" w:asciiTheme="minorEastAsia" w:hAnsiTheme="minorEastAsia" w:cstheme="minorEastAsia"/>
          <w:b/>
          <w:sz w:val="28"/>
          <w:szCs w:val="32"/>
        </w:rPr>
      </w:pPr>
      <w:r>
        <w:rPr>
          <w:rFonts w:hint="eastAsia" w:asciiTheme="minorEastAsia" w:hAnsiTheme="minorEastAsia" w:cstheme="minorEastAsia"/>
          <w:b/>
          <w:sz w:val="28"/>
          <w:szCs w:val="32"/>
        </w:rPr>
        <w:t>人工智能赛道训练硬件设备采购项目询价采购公告</w:t>
      </w:r>
    </w:p>
    <w:p w14:paraId="6C9EAC7C">
      <w:pPr>
        <w:widowControl/>
        <w:spacing w:after="200" w:line="276" w:lineRule="auto"/>
        <w:ind w:firstLine="1100" w:firstLineChars="500"/>
        <w:jc w:val="left"/>
        <w:rPr>
          <w:rFonts w:hint="eastAsia" w:asciiTheme="minorEastAsia" w:hAnsiTheme="minorEastAsia" w:cstheme="minorEastAsia"/>
          <w:kern w:val="0"/>
          <w:sz w:val="22"/>
          <w:szCs w:val="24"/>
          <w:lang w:bidi="en-US"/>
        </w:rPr>
      </w:pPr>
      <w:r>
        <w:rPr>
          <w:rFonts w:hint="eastAsia" w:asciiTheme="minorEastAsia" w:hAnsiTheme="minorEastAsia" w:cstheme="minorEastAsia"/>
          <w:kern w:val="0"/>
          <w:sz w:val="22"/>
          <w:szCs w:val="24"/>
          <w:lang w:bidi="en-US"/>
        </w:rPr>
        <w:t>采购编号：</w:t>
      </w:r>
      <w:r>
        <w:rPr>
          <w:rFonts w:hint="eastAsia" w:asciiTheme="minorEastAsia" w:hAnsiTheme="minorEastAsia" w:cstheme="minorEastAsia"/>
          <w:b/>
          <w:kern w:val="0"/>
          <w:sz w:val="22"/>
          <w:szCs w:val="24"/>
          <w:lang w:bidi="en-US"/>
        </w:rPr>
        <w:t>LZPU2026-</w:t>
      </w:r>
      <w:r>
        <w:rPr>
          <w:rFonts w:hint="eastAsia" w:asciiTheme="minorEastAsia" w:hAnsiTheme="minorEastAsia" w:cstheme="minorEastAsia"/>
          <w:b/>
          <w:kern w:val="0"/>
          <w:sz w:val="22"/>
          <w:szCs w:val="24"/>
          <w:lang w:val="en-US" w:eastAsia="zh-CN" w:bidi="en-US"/>
        </w:rPr>
        <w:t>6-1</w:t>
      </w:r>
      <w:r>
        <w:rPr>
          <w:rFonts w:hint="eastAsia" w:asciiTheme="minorEastAsia" w:hAnsiTheme="minorEastAsia" w:cstheme="minorEastAsia"/>
          <w:kern w:val="0"/>
          <w:sz w:val="22"/>
          <w:szCs w:val="24"/>
          <w:lang w:bidi="en-US"/>
        </w:rPr>
        <w:t xml:space="preserve">                              发布日期：</w:t>
      </w:r>
      <w:r>
        <w:rPr>
          <w:rFonts w:hint="eastAsia" w:asciiTheme="minorEastAsia" w:hAnsiTheme="minorEastAsia" w:cstheme="minorEastAsia"/>
          <w:b/>
          <w:kern w:val="0"/>
          <w:sz w:val="22"/>
          <w:szCs w:val="24"/>
          <w:lang w:bidi="en-US"/>
        </w:rPr>
        <w:t>2026年</w:t>
      </w:r>
      <w:r>
        <w:rPr>
          <w:rFonts w:hint="eastAsia" w:asciiTheme="minorEastAsia" w:hAnsiTheme="minorEastAsia" w:cstheme="minorEastAsia"/>
          <w:b/>
          <w:kern w:val="0"/>
          <w:sz w:val="22"/>
          <w:szCs w:val="24"/>
          <w:lang w:val="en-US" w:eastAsia="zh-CN" w:bidi="en-US"/>
        </w:rPr>
        <w:t>3</w:t>
      </w:r>
      <w:r>
        <w:rPr>
          <w:rFonts w:hint="eastAsia" w:asciiTheme="minorEastAsia" w:hAnsiTheme="minorEastAsia" w:cstheme="minorEastAsia"/>
          <w:b/>
          <w:kern w:val="0"/>
          <w:sz w:val="22"/>
          <w:szCs w:val="24"/>
          <w:lang w:bidi="en-US"/>
        </w:rPr>
        <w:t>月</w:t>
      </w:r>
      <w:r>
        <w:rPr>
          <w:rFonts w:hint="eastAsia" w:asciiTheme="minorEastAsia" w:hAnsiTheme="minorEastAsia" w:cstheme="minorEastAsia"/>
          <w:b/>
          <w:kern w:val="0"/>
          <w:sz w:val="22"/>
          <w:szCs w:val="24"/>
          <w:lang w:val="en-US" w:eastAsia="zh-CN" w:bidi="en-US"/>
        </w:rPr>
        <w:t>5</w:t>
      </w:r>
      <w:r>
        <w:rPr>
          <w:rFonts w:hint="eastAsia" w:asciiTheme="minorEastAsia" w:hAnsiTheme="minorEastAsia" w:cstheme="minorEastAsia"/>
          <w:b/>
          <w:kern w:val="0"/>
          <w:sz w:val="22"/>
          <w:szCs w:val="24"/>
          <w:lang w:bidi="en-US"/>
        </w:rPr>
        <w:t>日</w:t>
      </w:r>
    </w:p>
    <w:p w14:paraId="1E4C1479">
      <w:pPr>
        <w:numPr>
          <w:ilvl w:val="0"/>
          <w:numId w:val="1"/>
        </w:numPr>
        <w:spacing w:line="360" w:lineRule="auto"/>
        <w:rPr>
          <w:rFonts w:hint="eastAsia" w:asciiTheme="minorEastAsia" w:hAnsiTheme="minorEastAsia" w:cstheme="minorEastAsia"/>
          <w:bCs/>
          <w:kern w:val="0"/>
          <w:sz w:val="24"/>
          <w:szCs w:val="28"/>
          <w:lang w:bidi="en-US"/>
        </w:rPr>
      </w:pPr>
      <w:r>
        <w:rPr>
          <w:rFonts w:hint="eastAsia" w:asciiTheme="minorEastAsia" w:hAnsiTheme="minorEastAsia" w:cstheme="minorEastAsia"/>
          <w:bCs/>
          <w:kern w:val="0"/>
          <w:sz w:val="24"/>
          <w:szCs w:val="28"/>
          <w:lang w:bidi="en-US"/>
        </w:rPr>
        <w:t>项目名称：人工智能赛道训练硬件设备采购</w:t>
      </w:r>
    </w:p>
    <w:p w14:paraId="67BA3082">
      <w:pPr>
        <w:numPr>
          <w:ilvl w:val="0"/>
          <w:numId w:val="1"/>
        </w:numPr>
        <w:spacing w:line="360" w:lineRule="auto"/>
        <w:rPr>
          <w:rFonts w:hint="eastAsia" w:asciiTheme="minorEastAsia" w:hAnsiTheme="minorEastAsia" w:cstheme="minorEastAsia"/>
          <w:bCs/>
          <w:kern w:val="0"/>
          <w:sz w:val="24"/>
          <w:szCs w:val="28"/>
          <w:lang w:bidi="en-US"/>
        </w:rPr>
      </w:pPr>
      <w:r>
        <w:rPr>
          <w:rFonts w:hint="eastAsia" w:asciiTheme="minorEastAsia" w:hAnsiTheme="minorEastAsia" w:cstheme="minorEastAsia"/>
          <w:bCs/>
          <w:kern w:val="0"/>
          <w:sz w:val="24"/>
          <w:szCs w:val="28"/>
          <w:lang w:bidi="en-US"/>
        </w:rPr>
        <w:t>询价采购项目预算金额：（人民币大写）玖万捌仟元整（¥98000.00）</w:t>
      </w:r>
    </w:p>
    <w:p w14:paraId="6CE3E129">
      <w:pPr>
        <w:numPr>
          <w:ilvl w:val="0"/>
          <w:numId w:val="1"/>
        </w:numPr>
        <w:spacing w:line="360" w:lineRule="auto"/>
        <w:rPr>
          <w:rFonts w:hint="eastAsia" w:asciiTheme="minorEastAsia" w:hAnsiTheme="minorEastAsia" w:cstheme="minorEastAsia"/>
          <w:bCs/>
          <w:kern w:val="0"/>
          <w:sz w:val="24"/>
          <w:szCs w:val="28"/>
          <w:lang w:bidi="en-US"/>
        </w:rPr>
      </w:pPr>
      <w:r>
        <w:rPr>
          <w:rFonts w:hint="eastAsia" w:asciiTheme="minorEastAsia" w:hAnsiTheme="minorEastAsia" w:cstheme="minorEastAsia"/>
          <w:bCs/>
          <w:kern w:val="0"/>
          <w:sz w:val="24"/>
          <w:szCs w:val="28"/>
          <w:lang w:bidi="en-US"/>
        </w:rPr>
        <w:t>评标方法：最低评标价法</w:t>
      </w:r>
    </w:p>
    <w:p w14:paraId="7D41DE59">
      <w:pPr>
        <w:numPr>
          <w:ilvl w:val="0"/>
          <w:numId w:val="1"/>
        </w:numPr>
        <w:spacing w:line="360" w:lineRule="auto"/>
        <w:rPr>
          <w:rFonts w:hint="eastAsia" w:asciiTheme="minorEastAsia" w:hAnsiTheme="minorEastAsia" w:cstheme="minorEastAsia"/>
          <w:bCs/>
          <w:kern w:val="0"/>
          <w:sz w:val="24"/>
          <w:szCs w:val="28"/>
          <w:lang w:bidi="en-US"/>
        </w:rPr>
      </w:pPr>
      <w:r>
        <w:rPr>
          <w:rFonts w:hint="eastAsia" w:asciiTheme="minorEastAsia" w:hAnsiTheme="minorEastAsia" w:cstheme="minorEastAsia"/>
          <w:bCs/>
          <w:kern w:val="0"/>
          <w:sz w:val="24"/>
          <w:szCs w:val="28"/>
          <w:lang w:bidi="en-US"/>
        </w:rPr>
        <w:t>采购要求</w:t>
      </w:r>
    </w:p>
    <w:p w14:paraId="62FBF14B">
      <w:pPr>
        <w:pStyle w:val="7"/>
        <w:rPr>
          <w:rFonts w:hint="eastAsia" w:asciiTheme="minorEastAsia" w:hAnsiTheme="minorEastAsia" w:cstheme="minorEastAsia"/>
          <w:b/>
          <w:color w:val="FF0000"/>
        </w:rPr>
      </w:pPr>
      <w:r>
        <w:rPr>
          <w:rFonts w:hint="eastAsia" w:asciiTheme="minorEastAsia" w:hAnsiTheme="minorEastAsia" w:cstheme="minorEastAsia"/>
          <w:b/>
          <w:color w:val="FF0000"/>
          <w:highlight w:val="yellow"/>
        </w:rPr>
        <w:t>说明：</w:t>
      </w:r>
      <w:r>
        <w:rPr>
          <w:rFonts w:hint="eastAsia" w:asciiTheme="minorEastAsia" w:hAnsiTheme="minorEastAsia" w:cstheme="minorEastAsia"/>
        </w:rPr>
        <w:t>项目所有参数及商务要求为实质性响应内容，评审时报价人的响应内容发生负偏离一项（含）以上的，视为报价无效。报价人应对照参数要求逐条作明确的报价响应，并在</w:t>
      </w:r>
      <w:r>
        <w:rPr>
          <w:rFonts w:hint="eastAsia" w:asciiTheme="minorEastAsia" w:hAnsiTheme="minorEastAsia" w:cstheme="minorEastAsia"/>
          <w:u w:val="single"/>
        </w:rPr>
        <w:t>“商务、技术响应、偏离情况说明表”</w:t>
      </w:r>
      <w:r>
        <w:rPr>
          <w:rFonts w:hint="eastAsia" w:asciiTheme="minorEastAsia" w:hAnsiTheme="minorEastAsia" w:cstheme="minorEastAsia"/>
        </w:rPr>
        <w:t>中作出偏离说明。</w:t>
      </w:r>
    </w:p>
    <w:tbl>
      <w:tblPr>
        <w:tblStyle w:val="17"/>
        <w:tblW w:w="10066"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062"/>
        <w:gridCol w:w="7759"/>
        <w:gridCol w:w="375"/>
        <w:gridCol w:w="465"/>
      </w:tblGrid>
      <w:tr w14:paraId="1D08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5" w:type="dxa"/>
            <w:vAlign w:val="center"/>
          </w:tcPr>
          <w:p w14:paraId="7664B8EA">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序号</w:t>
            </w:r>
          </w:p>
        </w:tc>
        <w:tc>
          <w:tcPr>
            <w:tcW w:w="1062" w:type="dxa"/>
            <w:noWrap/>
            <w:vAlign w:val="center"/>
          </w:tcPr>
          <w:p w14:paraId="1116CDB7">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名称</w:t>
            </w:r>
          </w:p>
        </w:tc>
        <w:tc>
          <w:tcPr>
            <w:tcW w:w="7759" w:type="dxa"/>
            <w:noWrap/>
            <w:vAlign w:val="center"/>
          </w:tcPr>
          <w:p w14:paraId="32DE9DC1">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kern w:val="0"/>
                <w:szCs w:val="21"/>
              </w:rPr>
              <w:t>参数</w:t>
            </w:r>
            <w:r>
              <w:rPr>
                <w:rFonts w:hint="eastAsia" w:asciiTheme="minorEastAsia" w:hAnsiTheme="minorEastAsia" w:cstheme="minorEastAsia"/>
                <w:color w:val="000000"/>
                <w:kern w:val="0"/>
                <w:szCs w:val="21"/>
              </w:rPr>
              <w:t>要求</w:t>
            </w:r>
          </w:p>
        </w:tc>
        <w:tc>
          <w:tcPr>
            <w:tcW w:w="375" w:type="dxa"/>
            <w:noWrap/>
            <w:vAlign w:val="center"/>
          </w:tcPr>
          <w:p w14:paraId="2156B867">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数量</w:t>
            </w:r>
          </w:p>
        </w:tc>
        <w:tc>
          <w:tcPr>
            <w:tcW w:w="465" w:type="dxa"/>
            <w:noWrap/>
            <w:vAlign w:val="center"/>
          </w:tcPr>
          <w:p w14:paraId="16ECFF3E">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单位</w:t>
            </w:r>
          </w:p>
        </w:tc>
      </w:tr>
      <w:tr w14:paraId="1B49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05" w:type="dxa"/>
          </w:tcPr>
          <w:p w14:paraId="70EF9955">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1</w:t>
            </w:r>
          </w:p>
        </w:tc>
        <w:tc>
          <w:tcPr>
            <w:tcW w:w="1062" w:type="dxa"/>
            <w:noWrap/>
          </w:tcPr>
          <w:p w14:paraId="32DA35D6">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放疗设备模具</w:t>
            </w:r>
          </w:p>
        </w:tc>
        <w:tc>
          <w:tcPr>
            <w:tcW w:w="7759" w:type="dxa"/>
            <w:noWrap/>
          </w:tcPr>
          <w:p w14:paraId="78501234">
            <w:pPr>
              <w:ind w:left="71" w:right="56"/>
              <w:rPr>
                <w:rFonts w:hint="eastAsia" w:asciiTheme="minorEastAsia" w:hAnsiTheme="minorEastAsia" w:cstheme="minorEastAsia"/>
                <w:szCs w:val="21"/>
              </w:rPr>
            </w:pPr>
            <w:r>
              <w:rPr>
                <w:rFonts w:hint="eastAsia" w:asciiTheme="minorEastAsia" w:hAnsiTheme="minorEastAsia" w:cstheme="minorEastAsia"/>
                <w:szCs w:val="21"/>
              </w:rPr>
              <w:t>1.模型尺寸按照通用型直线或螺旋加速放疗设备设计建模，模型尺寸高度：高1979.7mm（±5mm）,宽1195.47mm（±5mm）,长1989.29mm（±5mm）。</w:t>
            </w:r>
          </w:p>
          <w:p w14:paraId="32D74F53">
            <w:pPr>
              <w:ind w:left="71"/>
              <w:rPr>
                <w:rFonts w:hint="eastAsia" w:asciiTheme="minorEastAsia" w:hAnsiTheme="minorEastAsia" w:cstheme="minorEastAsia"/>
                <w:szCs w:val="21"/>
              </w:rPr>
            </w:pPr>
            <w:r>
              <w:rPr>
                <w:rFonts w:hint="eastAsia" w:asciiTheme="minorEastAsia" w:hAnsiTheme="minorEastAsia" w:cstheme="minorEastAsia"/>
                <w:szCs w:val="21"/>
              </w:rPr>
              <w:t>2.主体材质：材质为ABS工程塑料与光敏树脂</w:t>
            </w:r>
            <w:r>
              <w:rPr>
                <w:rFonts w:hint="eastAsia" w:asciiTheme="minorEastAsia" w:hAnsiTheme="minorEastAsia" w:cstheme="minorEastAsia"/>
                <w:spacing w:val="-6"/>
                <w:szCs w:val="21"/>
              </w:rPr>
              <w:t>零部件经精细打磨处理后进行分色喷涂及烤漆工艺，整休结</w:t>
            </w:r>
            <w:r>
              <w:rPr>
                <w:rFonts w:hint="eastAsia" w:asciiTheme="minorEastAsia" w:hAnsiTheme="minorEastAsia" w:cstheme="minorEastAsia"/>
                <w:szCs w:val="21"/>
              </w:rPr>
              <w:t>构与比例按真实设备等比例还原。</w:t>
            </w:r>
          </w:p>
          <w:p w14:paraId="090AF581">
            <w:pPr>
              <w:ind w:left="71"/>
              <w:rPr>
                <w:rFonts w:hint="eastAsia" w:asciiTheme="minorEastAsia" w:hAnsiTheme="minorEastAsia" w:cstheme="minorEastAsia"/>
                <w:strike/>
                <w:szCs w:val="21"/>
              </w:rPr>
            </w:pPr>
            <w:r>
              <w:rPr>
                <w:rFonts w:hint="eastAsia" w:asciiTheme="minorEastAsia" w:hAnsiTheme="minorEastAsia" w:cstheme="minorEastAsia"/>
                <w:spacing w:val="-5"/>
                <w:szCs w:val="21"/>
              </w:rPr>
              <w:t>3.还原放疗设备整体结构(细化)、床体、机架、控制部件及主要外形特征：表面色彩、标识位置及轮廓</w:t>
            </w:r>
            <w:r>
              <w:rPr>
                <w:rFonts w:hint="eastAsia" w:asciiTheme="minorEastAsia" w:hAnsiTheme="minorEastAsia" w:cstheme="minorEastAsia"/>
                <w:szCs w:val="21"/>
              </w:rPr>
              <w:t>比例与原型设备保持一致。</w:t>
            </w:r>
          </w:p>
          <w:p w14:paraId="0478FAE2">
            <w:pPr>
              <w:ind w:left="71" w:right="48"/>
              <w:rPr>
                <w:rFonts w:hint="eastAsia" w:asciiTheme="minorEastAsia" w:hAnsiTheme="minorEastAsia" w:cstheme="minorEastAsia"/>
                <w:szCs w:val="21"/>
              </w:rPr>
            </w:pPr>
            <w:r>
              <w:rPr>
                <w:rFonts w:hint="eastAsia" w:asciiTheme="minorEastAsia" w:hAnsiTheme="minorEastAsia" w:cstheme="minorEastAsia"/>
                <w:spacing w:val="-1"/>
                <w:szCs w:val="21"/>
              </w:rPr>
              <w:t>4.模型按</w:t>
            </w:r>
            <w:r>
              <w:rPr>
                <w:rFonts w:hint="eastAsia" w:asciiTheme="minorEastAsia" w:hAnsiTheme="minorEastAsia" w:cstheme="minorEastAsia"/>
                <w:szCs w:val="21"/>
              </w:rPr>
              <w:t>常见通用型直线或螺旋加速放疗设备</w:t>
            </w:r>
            <w:r>
              <w:rPr>
                <w:rFonts w:hint="eastAsia" w:asciiTheme="minorEastAsia" w:hAnsiTheme="minorEastAsia" w:cstheme="minorEastAsia"/>
                <w:spacing w:val="-1"/>
                <w:szCs w:val="21"/>
              </w:rPr>
              <w:t>进行制作，整体结</w:t>
            </w:r>
            <w:r>
              <w:rPr>
                <w:rFonts w:hint="eastAsia" w:asciiTheme="minorEastAsia" w:hAnsiTheme="minorEastAsia" w:cstheme="minorEastAsia"/>
                <w:szCs w:val="21"/>
              </w:rPr>
              <w:t>构牢固，比例协调，尺寸准确，色彩搭配明快。各部件制</w:t>
            </w:r>
            <w:r>
              <w:rPr>
                <w:rFonts w:hint="eastAsia" w:asciiTheme="minorEastAsia" w:hAnsiTheme="minorEastAsia" w:cstheme="minorEastAsia"/>
                <w:spacing w:val="-1"/>
                <w:szCs w:val="21"/>
              </w:rPr>
              <w:t>作精细逼真，表面平整、光洁。各结合面无粘接痕迹，无</w:t>
            </w:r>
            <w:r>
              <w:rPr>
                <w:rFonts w:hint="eastAsia" w:asciiTheme="minorEastAsia" w:hAnsiTheme="minorEastAsia" w:cstheme="minorEastAsia"/>
                <w:szCs w:val="21"/>
              </w:rPr>
              <w:t>变形，无扭曲。</w:t>
            </w:r>
          </w:p>
          <w:p w14:paraId="303D593D">
            <w:pPr>
              <w:ind w:left="71"/>
              <w:rPr>
                <w:rFonts w:hint="eastAsia" w:asciiTheme="minorEastAsia" w:hAnsiTheme="minorEastAsia" w:cstheme="minorEastAsia"/>
                <w:spacing w:val="-1"/>
                <w:szCs w:val="21"/>
              </w:rPr>
            </w:pPr>
            <w:r>
              <w:rPr>
                <w:rFonts w:hint="eastAsia" w:asciiTheme="minorEastAsia" w:hAnsiTheme="minorEastAsia" w:cstheme="minorEastAsia"/>
                <w:szCs w:val="21"/>
              </w:rPr>
              <w:t>5.底部配置重载型可锁定万向脚轮不少于4</w:t>
            </w:r>
            <w:r>
              <w:rPr>
                <w:rFonts w:hint="eastAsia" w:asciiTheme="minorEastAsia" w:hAnsiTheme="minorEastAsia" w:cstheme="minorEastAsia"/>
                <w:spacing w:val="-5"/>
                <w:szCs w:val="21"/>
              </w:rPr>
              <w:t>个；具备刹车锁定功能，锁定后设备稳固无晃</w:t>
            </w:r>
            <w:r>
              <w:rPr>
                <w:rFonts w:hint="eastAsia" w:asciiTheme="minorEastAsia" w:hAnsiTheme="minorEastAsia" w:cstheme="minorEastAsia"/>
                <w:szCs w:val="21"/>
              </w:rPr>
              <w:t>动、无位移</w:t>
            </w:r>
            <w:r>
              <w:rPr>
                <w:rFonts w:hint="eastAsia" w:asciiTheme="minorEastAsia" w:hAnsiTheme="minorEastAsia" w:cstheme="minorEastAsia"/>
                <w:spacing w:val="-1"/>
                <w:szCs w:val="21"/>
              </w:rPr>
              <w:t>。尺寸要求：高98mm（±2mm），长95mm（±2mm），宽66.5mm（±2mm），安装孔径8.5mm（±2mm）。承重要求250KG（±2KG）。</w:t>
            </w:r>
          </w:p>
          <w:p w14:paraId="3C954849">
            <w:pPr>
              <w:ind w:left="71"/>
              <w:rPr>
                <w:rFonts w:hint="eastAsia" w:asciiTheme="minorEastAsia" w:hAnsiTheme="minorEastAsia" w:cstheme="minorEastAsia"/>
                <w:spacing w:val="-1"/>
                <w:szCs w:val="21"/>
              </w:rPr>
            </w:pPr>
            <w:r>
              <w:rPr>
                <w:rFonts w:hint="eastAsia" w:asciiTheme="minorEastAsia" w:hAnsiTheme="minorEastAsia" w:cstheme="minorEastAsia"/>
                <w:spacing w:val="-1"/>
                <w:szCs w:val="21"/>
              </w:rPr>
              <w:t>6.放疗床的整体尺寸：长2170*宽1070mm，可调节高度440-660mm，起背角度0-85°，抬腿角度0-35°，床板尺寸长1950*宽900mm，材质使用冷轧钢，护栏材质使用液压ABS，床头床尾材质使用ABS，床体承重≥220KG（±20KG）。</w:t>
            </w:r>
          </w:p>
        </w:tc>
        <w:tc>
          <w:tcPr>
            <w:tcW w:w="375" w:type="dxa"/>
            <w:noWrap/>
          </w:tcPr>
          <w:p w14:paraId="4602EB2A">
            <w:pPr>
              <w:pStyle w:val="41"/>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p w14:paraId="79049181">
            <w:pPr>
              <w:pStyle w:val="41"/>
              <w:rPr>
                <w:rFonts w:hint="eastAsia" w:asciiTheme="minorEastAsia" w:hAnsiTheme="minorEastAsia" w:eastAsiaTheme="minorEastAsia" w:cstheme="minorEastAsia"/>
              </w:rPr>
            </w:pPr>
          </w:p>
          <w:p w14:paraId="3F4F0D9B">
            <w:pPr>
              <w:pStyle w:val="41"/>
              <w:rPr>
                <w:rFonts w:hint="eastAsia" w:asciiTheme="minorEastAsia" w:hAnsiTheme="minorEastAsia" w:eastAsiaTheme="minorEastAsia" w:cstheme="minorEastAsia"/>
              </w:rPr>
            </w:pPr>
          </w:p>
          <w:p w14:paraId="56C9C401">
            <w:pPr>
              <w:pStyle w:val="41"/>
              <w:rPr>
                <w:rFonts w:hint="eastAsia" w:asciiTheme="minorEastAsia" w:hAnsiTheme="minorEastAsia" w:eastAsiaTheme="minorEastAsia" w:cstheme="minorEastAsia"/>
              </w:rPr>
            </w:pPr>
          </w:p>
          <w:p w14:paraId="15714C42">
            <w:pPr>
              <w:pStyle w:val="41"/>
              <w:rPr>
                <w:rFonts w:hint="eastAsia" w:asciiTheme="minorEastAsia" w:hAnsiTheme="minorEastAsia" w:eastAsiaTheme="minorEastAsia" w:cstheme="minorEastAsia"/>
              </w:rPr>
            </w:pPr>
          </w:p>
          <w:p w14:paraId="3687370D">
            <w:pPr>
              <w:pStyle w:val="41"/>
              <w:rPr>
                <w:rFonts w:hint="eastAsia" w:asciiTheme="minorEastAsia" w:hAnsiTheme="minorEastAsia" w:eastAsiaTheme="minorEastAsia" w:cstheme="minorEastAsia"/>
              </w:rPr>
            </w:pPr>
          </w:p>
          <w:p w14:paraId="7C57B49A">
            <w:pPr>
              <w:pStyle w:val="41"/>
              <w:rPr>
                <w:rFonts w:hint="eastAsia" w:asciiTheme="minorEastAsia" w:hAnsiTheme="minorEastAsia" w:eastAsiaTheme="minorEastAsia" w:cstheme="minorEastAsia"/>
              </w:rPr>
            </w:pPr>
          </w:p>
          <w:p w14:paraId="4BB871B4">
            <w:pPr>
              <w:pStyle w:val="41"/>
              <w:rPr>
                <w:rFonts w:hint="eastAsia" w:asciiTheme="minorEastAsia" w:hAnsiTheme="minorEastAsia" w:eastAsiaTheme="minorEastAsia" w:cstheme="minorEastAsia"/>
              </w:rPr>
            </w:pPr>
          </w:p>
          <w:p w14:paraId="7DEEE6AC">
            <w:pPr>
              <w:pStyle w:val="41"/>
              <w:rPr>
                <w:rFonts w:hint="eastAsia" w:asciiTheme="minorEastAsia" w:hAnsiTheme="minorEastAsia" w:eastAsiaTheme="minorEastAsia" w:cstheme="minorEastAsia"/>
              </w:rPr>
            </w:pPr>
          </w:p>
          <w:p w14:paraId="51143DFC">
            <w:pPr>
              <w:ind w:left="235"/>
              <w:rPr>
                <w:rFonts w:hint="eastAsia" w:asciiTheme="minorEastAsia" w:hAnsiTheme="minorEastAsia" w:cstheme="minorEastAsia"/>
                <w:szCs w:val="21"/>
              </w:rPr>
            </w:pPr>
            <w:r>
              <w:rPr>
                <w:rFonts w:hint="eastAsia" w:asciiTheme="minorEastAsia" w:hAnsiTheme="minorEastAsia" w:cstheme="minorEastAsia"/>
                <w:szCs w:val="21"/>
              </w:rPr>
              <w:t>1</w:t>
            </w:r>
          </w:p>
        </w:tc>
        <w:tc>
          <w:tcPr>
            <w:tcW w:w="465" w:type="dxa"/>
            <w:noWrap/>
          </w:tcPr>
          <w:p w14:paraId="109ABCCC">
            <w:pPr>
              <w:rPr>
                <w:rFonts w:hint="eastAsia" w:asciiTheme="minorEastAsia" w:hAnsiTheme="minorEastAsia" w:cstheme="minorEastAsia"/>
                <w:color w:val="FF0000"/>
                <w:kern w:val="0"/>
                <w:szCs w:val="21"/>
              </w:rPr>
            </w:pPr>
            <w:r>
              <w:rPr>
                <w:rFonts w:hint="eastAsia" w:asciiTheme="minorEastAsia" w:hAnsiTheme="minorEastAsia" w:cstheme="minorEastAsia"/>
                <w:szCs w:val="21"/>
              </w:rPr>
              <w:t>套</w:t>
            </w:r>
          </w:p>
        </w:tc>
      </w:tr>
      <w:tr w14:paraId="38B8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dxa"/>
          </w:tcPr>
          <w:p w14:paraId="73797599">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2</w:t>
            </w:r>
          </w:p>
        </w:tc>
        <w:tc>
          <w:tcPr>
            <w:tcW w:w="1062" w:type="dxa"/>
            <w:noWrap/>
          </w:tcPr>
          <w:p w14:paraId="15A15995">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color w:val="000000"/>
                <w:kern w:val="0"/>
                <w:szCs w:val="21"/>
                <w:lang w:bidi="ar"/>
              </w:rPr>
              <w:t>医用模拟人</w:t>
            </w:r>
          </w:p>
        </w:tc>
        <w:tc>
          <w:tcPr>
            <w:tcW w:w="7759" w:type="dxa"/>
            <w:noWrap/>
          </w:tcPr>
          <w:p w14:paraId="69F66B4A">
            <w:pPr>
              <w:rPr>
                <w:rFonts w:hint="eastAsia" w:asciiTheme="minorEastAsia" w:hAnsiTheme="minorEastAsia" w:cstheme="minorEastAsia"/>
                <w:szCs w:val="21"/>
              </w:rPr>
            </w:pPr>
            <w:r>
              <w:rPr>
                <w:rFonts w:hint="eastAsia" w:asciiTheme="minorEastAsia" w:hAnsiTheme="minorEastAsia" w:cstheme="minorEastAsia"/>
                <w:spacing w:val="-6"/>
                <w:szCs w:val="21"/>
              </w:rPr>
              <w:t>1.医疗模拟人尺寸按照真人比例1:1出模</w:t>
            </w:r>
            <w:r>
              <w:rPr>
                <w:rFonts w:hint="eastAsia" w:asciiTheme="minorEastAsia" w:hAnsiTheme="minorEastAsia" w:cstheme="minorEastAsia"/>
                <w:spacing w:val="3"/>
                <w:szCs w:val="21"/>
              </w:rPr>
              <w:t>，身长：1600mm±10</w:t>
            </w:r>
            <w:r>
              <w:rPr>
                <w:rFonts w:hint="eastAsia" w:asciiTheme="minorEastAsia" w:hAnsiTheme="minorEastAsia" w:cstheme="minorEastAsia"/>
                <w:szCs w:val="21"/>
              </w:rPr>
              <w:t>mm</w:t>
            </w:r>
            <w:r>
              <w:rPr>
                <w:rFonts w:hint="eastAsia" w:asciiTheme="minorEastAsia" w:hAnsiTheme="minorEastAsia" w:cstheme="minorEastAsia"/>
                <w:spacing w:val="3"/>
                <w:szCs w:val="21"/>
              </w:rPr>
              <w:t>；</w:t>
            </w:r>
          </w:p>
          <w:p w14:paraId="2D7EDEA2">
            <w:pPr>
              <w:ind w:right="64"/>
              <w:rPr>
                <w:rFonts w:hint="eastAsia" w:asciiTheme="minorEastAsia" w:hAnsiTheme="minorEastAsia" w:cstheme="minorEastAsia"/>
                <w:szCs w:val="21"/>
              </w:rPr>
            </w:pPr>
            <w:r>
              <w:rPr>
                <w:rFonts w:hint="eastAsia" w:asciiTheme="minorEastAsia" w:hAnsiTheme="minorEastAsia" w:cstheme="minorEastAsia"/>
                <w:szCs w:val="21"/>
              </w:rPr>
              <w:t>2.产品材质：热塑弹性体混合胶材质</w:t>
            </w:r>
            <w:r>
              <w:rPr>
                <w:rFonts w:hint="eastAsia" w:asciiTheme="minorEastAsia" w:hAnsiTheme="minorEastAsia" w:cstheme="minorEastAsia"/>
                <w:spacing w:val="-45"/>
                <w:szCs w:val="21"/>
              </w:rPr>
              <w:t xml:space="preserve"> </w:t>
            </w:r>
            <w:r>
              <w:rPr>
                <w:rFonts w:hint="eastAsia" w:asciiTheme="minorEastAsia" w:hAnsiTheme="minorEastAsia" w:cstheme="minorEastAsia"/>
                <w:spacing w:val="22"/>
                <w:szCs w:val="21"/>
              </w:rPr>
              <w:t>；</w:t>
            </w:r>
          </w:p>
          <w:p w14:paraId="772FC424">
            <w:pPr>
              <w:rPr>
                <w:rFonts w:hint="eastAsia" w:asciiTheme="minorEastAsia" w:hAnsiTheme="minorEastAsia" w:cstheme="minorEastAsia"/>
                <w:szCs w:val="21"/>
              </w:rPr>
            </w:pPr>
            <w:r>
              <w:rPr>
                <w:rFonts w:hint="eastAsia" w:asciiTheme="minorEastAsia" w:hAnsiTheme="minorEastAsia" w:cstheme="minorEastAsia"/>
                <w:spacing w:val="-6"/>
                <w:szCs w:val="21"/>
              </w:rPr>
              <w:t>3.关节可旋转：医疗模拟颈部、手部、足部关节可 360° 旋转</w:t>
            </w:r>
            <w:r>
              <w:rPr>
                <w:rFonts w:hint="eastAsia" w:asciiTheme="minorEastAsia" w:hAnsiTheme="minorEastAsia" w:cstheme="minorEastAsia"/>
                <w:spacing w:val="-46"/>
                <w:szCs w:val="21"/>
              </w:rPr>
              <w:t xml:space="preserve"> </w:t>
            </w:r>
            <w:r>
              <w:rPr>
                <w:rFonts w:hint="eastAsia" w:asciiTheme="minorEastAsia" w:hAnsiTheme="minorEastAsia" w:cstheme="minorEastAsia"/>
                <w:spacing w:val="22"/>
                <w:szCs w:val="21"/>
              </w:rPr>
              <w:t>；</w:t>
            </w:r>
          </w:p>
          <w:p w14:paraId="7E848A5E">
            <w:pPr>
              <w:ind w:right="81"/>
              <w:rPr>
                <w:rFonts w:hint="eastAsia" w:asciiTheme="minorEastAsia" w:hAnsiTheme="minorEastAsia" w:cstheme="minorEastAsia"/>
                <w:szCs w:val="21"/>
              </w:rPr>
            </w:pPr>
            <w:r>
              <w:rPr>
                <w:rFonts w:hint="eastAsia" w:asciiTheme="minorEastAsia" w:hAnsiTheme="minorEastAsia" w:cstheme="minorEastAsia"/>
                <w:spacing w:val="-1"/>
                <w:szCs w:val="21"/>
              </w:rPr>
              <w:t>4.人体解剖结构 1:1 还原，骨骼、肌肉、体表标识轮廓清晰，贴合人体生理特征度</w:t>
            </w:r>
            <w:r>
              <w:rPr>
                <w:rFonts w:hint="eastAsia" w:asciiTheme="minorEastAsia" w:hAnsiTheme="minorEastAsia" w:cstheme="minorEastAsia"/>
                <w:spacing w:val="6"/>
                <w:szCs w:val="21"/>
              </w:rPr>
              <w:t>；</w:t>
            </w:r>
          </w:p>
          <w:p w14:paraId="3DBD2A90">
            <w:pPr>
              <w:rPr>
                <w:rFonts w:hint="eastAsia" w:asciiTheme="minorEastAsia" w:hAnsiTheme="minorEastAsia" w:cstheme="minorEastAsia"/>
                <w:szCs w:val="21"/>
              </w:rPr>
            </w:pPr>
            <w:r>
              <w:rPr>
                <w:rFonts w:hint="eastAsia" w:asciiTheme="minorEastAsia" w:hAnsiTheme="minorEastAsia" w:cstheme="minorEastAsia"/>
                <w:spacing w:val="4"/>
                <w:szCs w:val="21"/>
              </w:rPr>
              <w:t>5.</w:t>
            </w:r>
            <w:r>
              <w:rPr>
                <w:rFonts w:hint="eastAsia" w:asciiTheme="minorEastAsia" w:hAnsiTheme="minorEastAsia" w:cstheme="minorEastAsia"/>
                <w:szCs w:val="21"/>
              </w:rPr>
              <w:t>CPR</w:t>
            </w:r>
            <w:r>
              <w:rPr>
                <w:rFonts w:hint="eastAsia" w:asciiTheme="minorEastAsia" w:hAnsiTheme="minorEastAsia" w:cstheme="minorEastAsia"/>
                <w:spacing w:val="4"/>
                <w:szCs w:val="21"/>
              </w:rPr>
              <w:t>训练模式：可进行按压和吹气训练；</w:t>
            </w:r>
          </w:p>
          <w:p w14:paraId="1D16BE3E">
            <w:pPr>
              <w:rPr>
                <w:rFonts w:hint="eastAsia" w:asciiTheme="minorEastAsia" w:hAnsiTheme="minorEastAsia" w:cstheme="minorEastAsia"/>
                <w:szCs w:val="21"/>
              </w:rPr>
            </w:pPr>
            <w:r>
              <w:rPr>
                <w:rFonts w:hint="eastAsia" w:asciiTheme="minorEastAsia" w:hAnsiTheme="minorEastAsia" w:cstheme="minorEastAsia"/>
                <w:spacing w:val="-1"/>
                <w:szCs w:val="21"/>
              </w:rPr>
              <w:t>6.支持24项基本护理训练：</w:t>
            </w:r>
          </w:p>
          <w:p w14:paraId="0C8D0188">
            <w:pPr>
              <w:rPr>
                <w:rFonts w:hint="eastAsia" w:asciiTheme="minorEastAsia" w:hAnsiTheme="minorEastAsia" w:cstheme="minorEastAsia"/>
                <w:szCs w:val="21"/>
              </w:rPr>
            </w:pPr>
            <w:r>
              <w:rPr>
                <w:rFonts w:hint="eastAsia" w:asciiTheme="minorEastAsia" w:hAnsiTheme="minorEastAsia" w:cstheme="minorEastAsia"/>
                <w:spacing w:val="-2"/>
                <w:szCs w:val="21"/>
              </w:rPr>
              <w:t>(1)洗脸和床上擦浴；(2)口腔护理；(3)气胸处理；</w:t>
            </w:r>
            <w:r>
              <w:rPr>
                <w:rFonts w:hint="eastAsia" w:asciiTheme="minorEastAsia" w:hAnsiTheme="minorEastAsia" w:cstheme="minorEastAsia"/>
                <w:szCs w:val="21"/>
              </w:rPr>
              <w:t>(4)骨髓穿刺；(5)静脉注射；(6)男性灌肠；(7)气管切开护理；(8)洗胃法；(9)胸腔穿刺；(10)腰椎穿</w:t>
            </w:r>
            <w:r>
              <w:rPr>
                <w:rFonts w:hint="eastAsia" w:asciiTheme="minorEastAsia" w:hAnsiTheme="minorEastAsia" w:cstheme="minorEastAsia"/>
                <w:spacing w:val="1"/>
                <w:szCs w:val="21"/>
              </w:rPr>
              <w:t>刺；(11)静脉穿刺；(12)臀部注射；(13)氧气吸入疗法：(14)心内注射法；(15)肝脏穿刺：(16</w:t>
            </w:r>
            <w:r>
              <w:rPr>
                <w:rFonts w:hint="eastAsia" w:asciiTheme="minorEastAsia" w:hAnsiTheme="minorEastAsia" w:cstheme="minorEastAsia"/>
                <w:szCs w:val="21"/>
              </w:rPr>
              <w:t>)皮下注射；</w:t>
            </w:r>
            <w:r>
              <w:rPr>
                <w:rFonts w:hint="eastAsia" w:asciiTheme="minorEastAsia" w:hAnsiTheme="minorEastAsia" w:cstheme="minorEastAsia"/>
                <w:spacing w:val="1"/>
                <w:szCs w:val="21"/>
              </w:rPr>
              <w:t>(17)静脉输液；(18)乳房护理；(19)鼻饲法；(20)</w:t>
            </w:r>
            <w:r>
              <w:rPr>
                <w:rFonts w:hint="eastAsia" w:asciiTheme="minorEastAsia" w:hAnsiTheme="minorEastAsia" w:cstheme="minorEastAsia"/>
                <w:spacing w:val="10"/>
                <w:szCs w:val="21"/>
              </w:rPr>
              <w:t xml:space="preserve"> </w:t>
            </w:r>
            <w:r>
              <w:rPr>
                <w:rFonts w:hint="eastAsia" w:asciiTheme="minorEastAsia" w:hAnsiTheme="minorEastAsia" w:cstheme="minorEastAsia"/>
                <w:szCs w:val="21"/>
              </w:rPr>
              <w:t>胸外按压；(21)腹腔穿刺；(22)三角肌</w:t>
            </w:r>
            <w:r>
              <w:rPr>
                <w:rFonts w:hint="eastAsia" w:asciiTheme="minorEastAsia" w:hAnsiTheme="minorEastAsia" w:cstheme="minorEastAsia"/>
                <w:spacing w:val="-1"/>
                <w:szCs w:val="21"/>
              </w:rPr>
              <w:t>注射；(23)静</w:t>
            </w:r>
            <w:r>
              <w:rPr>
                <w:rFonts w:hint="eastAsia" w:asciiTheme="minorEastAsia" w:hAnsiTheme="minorEastAsia" w:cstheme="minorEastAsia"/>
                <w:szCs w:val="21"/>
              </w:rPr>
              <w:t xml:space="preserve"> </w:t>
            </w:r>
            <w:r>
              <w:rPr>
                <w:rFonts w:hint="eastAsia" w:asciiTheme="minorEastAsia" w:hAnsiTheme="minorEastAsia" w:cstheme="minorEastAsia"/>
                <w:spacing w:val="1"/>
                <w:szCs w:val="21"/>
              </w:rPr>
              <w:t>脉输血；(24)男性导尿。</w:t>
            </w:r>
          </w:p>
          <w:p w14:paraId="188069F1">
            <w:pPr>
              <w:widowControl/>
              <w:textAlignment w:val="center"/>
              <w:rPr>
                <w:rFonts w:hint="eastAsia" w:asciiTheme="minorEastAsia" w:hAnsiTheme="minorEastAsia" w:cstheme="minorEastAsia"/>
                <w:spacing w:val="3"/>
                <w:szCs w:val="21"/>
              </w:rPr>
            </w:pPr>
            <w:r>
              <w:rPr>
                <w:rFonts w:hint="eastAsia" w:asciiTheme="minorEastAsia" w:hAnsiTheme="minorEastAsia" w:cstheme="minorEastAsia"/>
                <w:spacing w:val="-1"/>
                <w:szCs w:val="21"/>
              </w:rPr>
              <w:t>7.产品功能说明：(1)全身所有穿刺、注射部位的大小针块</w:t>
            </w:r>
            <w:r>
              <w:rPr>
                <w:rFonts w:hint="eastAsia" w:asciiTheme="minorEastAsia" w:hAnsiTheme="minorEastAsia" w:cstheme="minorEastAsia"/>
                <w:spacing w:val="2"/>
                <w:szCs w:val="21"/>
              </w:rPr>
              <w:t>均用软性塑料制成；(2)口鼻可作给氧、鼻饲、洗鼻</w:t>
            </w:r>
            <w:r>
              <w:rPr>
                <w:rFonts w:hint="eastAsia" w:asciiTheme="minorEastAsia" w:hAnsiTheme="minorEastAsia" w:cstheme="minorEastAsia"/>
                <w:spacing w:val="-1"/>
                <w:szCs w:val="21"/>
              </w:rPr>
              <w:t>；(3)臀部静脉注射，内有一皮管(代</w:t>
            </w:r>
            <w:r>
              <w:rPr>
                <w:rFonts w:hint="eastAsia" w:asciiTheme="minorEastAsia" w:hAnsiTheme="minorEastAsia" w:cstheme="minorEastAsia"/>
                <w:spacing w:val="-3"/>
                <w:szCs w:val="21"/>
              </w:rPr>
              <w:t>替静脉)</w:t>
            </w:r>
            <w:r>
              <w:rPr>
                <w:rFonts w:hint="eastAsia" w:asciiTheme="minorEastAsia" w:hAnsiTheme="minorEastAsia" w:cstheme="minorEastAsia"/>
                <w:spacing w:val="-1"/>
                <w:szCs w:val="21"/>
              </w:rPr>
              <w:t>；(4)皮下与肌肉注射的方法和临</w:t>
            </w:r>
            <w:r>
              <w:rPr>
                <w:rFonts w:hint="eastAsia" w:asciiTheme="minorEastAsia" w:hAnsiTheme="minorEastAsia" w:cstheme="minorEastAsia"/>
                <w:spacing w:val="-3"/>
                <w:szCs w:val="21"/>
              </w:rPr>
              <w:t>床相同，可注射液体，内有海绵体可吸水，也可以去除海绵</w:t>
            </w:r>
            <w:r>
              <w:rPr>
                <w:rFonts w:hint="eastAsia" w:asciiTheme="minorEastAsia" w:hAnsiTheme="minorEastAsia" w:cstheme="minorEastAsia"/>
                <w:spacing w:val="12"/>
                <w:szCs w:val="21"/>
              </w:rPr>
              <w:t xml:space="preserve"> </w:t>
            </w:r>
            <w:r>
              <w:rPr>
                <w:rFonts w:hint="eastAsia" w:asciiTheme="minorEastAsia" w:hAnsiTheme="minorEastAsia" w:cstheme="minorEastAsia"/>
                <w:spacing w:val="-1"/>
                <w:szCs w:val="21"/>
              </w:rPr>
              <w:t>挤干水分后再使用；(5)心肺复苏急救时胸廓起伏幅度≥30mm</w:t>
            </w:r>
            <w:r>
              <w:rPr>
                <w:rFonts w:hint="eastAsia" w:asciiTheme="minorEastAsia" w:hAnsiTheme="minorEastAsia" w:cstheme="minorEastAsia"/>
                <w:spacing w:val="3"/>
                <w:szCs w:val="21"/>
              </w:rPr>
              <w:t>±2mm</w:t>
            </w:r>
            <w:r>
              <w:rPr>
                <w:rFonts w:hint="eastAsia" w:asciiTheme="minorEastAsia" w:hAnsiTheme="minorEastAsia" w:cstheme="minorEastAsia"/>
                <w:spacing w:val="-1"/>
                <w:szCs w:val="21"/>
              </w:rPr>
              <w:t>，贴合临床操作反馈；(6)导尿和灌肠示教，可插入</w:t>
            </w:r>
            <w:r>
              <w:rPr>
                <w:rFonts w:hint="eastAsia" w:asciiTheme="minorEastAsia" w:hAnsiTheme="minorEastAsia" w:cstheme="minorEastAsia"/>
                <w:spacing w:val="3"/>
                <w:szCs w:val="21"/>
              </w:rPr>
              <w:t>皮管仅做示教动作(无液体流出)。</w:t>
            </w:r>
          </w:p>
        </w:tc>
        <w:tc>
          <w:tcPr>
            <w:tcW w:w="375" w:type="dxa"/>
            <w:noWrap/>
          </w:tcPr>
          <w:p w14:paraId="116D0A7C">
            <w:pPr>
              <w:widowControl/>
              <w:textAlignment w:val="center"/>
              <w:rPr>
                <w:rFonts w:hint="eastAsia" w:asciiTheme="minorEastAsia" w:hAnsiTheme="minorEastAsia" w:cstheme="minorEastAsia"/>
                <w:szCs w:val="21"/>
              </w:rPr>
            </w:pPr>
            <w:r>
              <w:rPr>
                <w:rFonts w:hint="eastAsia" w:asciiTheme="minorEastAsia" w:hAnsiTheme="minorEastAsia" w:cstheme="minorEastAsia"/>
                <w:color w:val="000000"/>
                <w:kern w:val="0"/>
                <w:szCs w:val="21"/>
                <w:lang w:bidi="ar"/>
              </w:rPr>
              <w:t>1</w:t>
            </w:r>
          </w:p>
        </w:tc>
        <w:tc>
          <w:tcPr>
            <w:tcW w:w="465" w:type="dxa"/>
            <w:noWrap/>
          </w:tcPr>
          <w:p w14:paraId="1F37F8E9">
            <w:pPr>
              <w:widowControl/>
              <w:textAlignment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具</w:t>
            </w:r>
          </w:p>
          <w:p w14:paraId="4154CF85">
            <w:pPr>
              <w:widowControl/>
              <w:textAlignment w:val="center"/>
              <w:rPr>
                <w:rFonts w:hint="eastAsia" w:asciiTheme="minorEastAsia" w:hAnsiTheme="minorEastAsia" w:cstheme="minorEastAsia"/>
                <w:color w:val="FF0000"/>
                <w:kern w:val="0"/>
                <w:szCs w:val="21"/>
              </w:rPr>
            </w:pPr>
          </w:p>
          <w:p w14:paraId="6DAA0917">
            <w:pPr>
              <w:widowControl/>
              <w:textAlignment w:val="center"/>
              <w:rPr>
                <w:rFonts w:hint="eastAsia" w:asciiTheme="minorEastAsia" w:hAnsiTheme="minorEastAsia" w:cstheme="minorEastAsia"/>
                <w:color w:val="FF0000"/>
                <w:kern w:val="0"/>
                <w:szCs w:val="21"/>
              </w:rPr>
            </w:pPr>
          </w:p>
          <w:p w14:paraId="2F2BA726">
            <w:pPr>
              <w:widowControl/>
              <w:textAlignment w:val="center"/>
              <w:rPr>
                <w:rFonts w:hint="eastAsia" w:asciiTheme="minorEastAsia" w:hAnsiTheme="minorEastAsia" w:cstheme="minorEastAsia"/>
                <w:color w:val="FF0000"/>
                <w:kern w:val="0"/>
                <w:szCs w:val="21"/>
              </w:rPr>
            </w:pPr>
          </w:p>
        </w:tc>
      </w:tr>
      <w:tr w14:paraId="0557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05" w:type="dxa"/>
          </w:tcPr>
          <w:p w14:paraId="0E20A919">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3</w:t>
            </w:r>
          </w:p>
        </w:tc>
        <w:tc>
          <w:tcPr>
            <w:tcW w:w="1062" w:type="dxa"/>
            <w:noWrap/>
          </w:tcPr>
          <w:p w14:paraId="1603ECFD">
            <w:pPr>
              <w:ind w:left="99" w:right="83" w:hanging="20"/>
              <w:rPr>
                <w:rFonts w:hint="eastAsia" w:asciiTheme="minorEastAsia" w:hAnsiTheme="minorEastAsia" w:cstheme="minorEastAsia"/>
                <w:szCs w:val="21"/>
              </w:rPr>
            </w:pPr>
            <w:r>
              <w:rPr>
                <w:rFonts w:hint="eastAsia" w:asciiTheme="minorEastAsia" w:hAnsiTheme="minorEastAsia" w:cstheme="minorEastAsia"/>
                <w:spacing w:val="3"/>
                <w:szCs w:val="21"/>
              </w:rPr>
              <w:t>双光谱测</w:t>
            </w:r>
            <w:r>
              <w:rPr>
                <w:rFonts w:hint="eastAsia" w:asciiTheme="minorEastAsia" w:hAnsiTheme="minorEastAsia" w:cstheme="minorEastAsia"/>
                <w:spacing w:val="2"/>
                <w:szCs w:val="21"/>
              </w:rPr>
              <w:t xml:space="preserve"> </w:t>
            </w:r>
            <w:r>
              <w:rPr>
                <w:rFonts w:hint="eastAsia" w:asciiTheme="minorEastAsia" w:hAnsiTheme="minorEastAsia" w:cstheme="minorEastAsia"/>
                <w:spacing w:val="-2"/>
                <w:szCs w:val="21"/>
              </w:rPr>
              <w:t>温筒机</w:t>
            </w:r>
          </w:p>
          <w:p w14:paraId="2FA775A3">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szCs w:val="21"/>
              </w:rPr>
              <w:t>(含目标</w:t>
            </w:r>
            <w:r>
              <w:rPr>
                <w:rFonts w:hint="eastAsia" w:asciiTheme="minorEastAsia" w:hAnsiTheme="minorEastAsia" w:cstheme="minorEastAsia"/>
                <w:spacing w:val="1"/>
                <w:szCs w:val="21"/>
              </w:rPr>
              <w:t xml:space="preserve"> </w:t>
            </w:r>
            <w:r>
              <w:rPr>
                <w:rFonts w:hint="eastAsia" w:asciiTheme="minorEastAsia" w:hAnsiTheme="minorEastAsia" w:cstheme="minorEastAsia"/>
                <w:spacing w:val="-2"/>
                <w:szCs w:val="21"/>
              </w:rPr>
              <w:t>检测智能</w:t>
            </w:r>
            <w:r>
              <w:rPr>
                <w:rFonts w:hint="eastAsia" w:asciiTheme="minorEastAsia" w:hAnsiTheme="minorEastAsia" w:cstheme="minorEastAsia"/>
                <w:szCs w:val="21"/>
              </w:rPr>
              <w:t xml:space="preserve"> </w:t>
            </w:r>
            <w:r>
              <w:rPr>
                <w:rFonts w:hint="eastAsia" w:asciiTheme="minorEastAsia" w:hAnsiTheme="minorEastAsia" w:cstheme="minorEastAsia"/>
                <w:spacing w:val="22"/>
                <w:szCs w:val="21"/>
              </w:rPr>
              <w:t>模块)</w:t>
            </w:r>
          </w:p>
        </w:tc>
        <w:tc>
          <w:tcPr>
            <w:tcW w:w="7759" w:type="dxa"/>
            <w:noWrap/>
          </w:tcPr>
          <w:p w14:paraId="4658ABE1">
            <w:pPr>
              <w:ind w:right="159"/>
              <w:rPr>
                <w:rFonts w:hint="eastAsia" w:asciiTheme="minorEastAsia" w:hAnsiTheme="minorEastAsia" w:cstheme="minorEastAsia"/>
                <w:szCs w:val="21"/>
              </w:rPr>
            </w:pPr>
            <w:r>
              <w:rPr>
                <w:rFonts w:hint="eastAsia" w:asciiTheme="minorEastAsia" w:hAnsiTheme="minorEastAsia" w:cstheme="minorEastAsia"/>
                <w:szCs w:val="21"/>
              </w:rPr>
              <w:t>一、主体设备</w:t>
            </w:r>
          </w:p>
          <w:p w14:paraId="52C6C362">
            <w:pPr>
              <w:ind w:right="159"/>
              <w:rPr>
                <w:rFonts w:hint="eastAsia" w:asciiTheme="minorEastAsia" w:hAnsiTheme="minorEastAsia" w:cstheme="minorEastAsia"/>
                <w:szCs w:val="21"/>
              </w:rPr>
            </w:pPr>
            <w:r>
              <w:rPr>
                <w:rFonts w:hint="eastAsia" w:asciiTheme="minorEastAsia" w:hAnsiTheme="minorEastAsia" w:cstheme="minorEastAsia"/>
                <w:szCs w:val="21"/>
              </w:rPr>
              <w:t>1.功能要求</w:t>
            </w:r>
          </w:p>
          <w:p w14:paraId="2E426EFA">
            <w:pPr>
              <w:ind w:right="159"/>
              <w:rPr>
                <w:rFonts w:hint="eastAsia" w:asciiTheme="minorEastAsia" w:hAnsiTheme="minorEastAsia" w:cstheme="minorEastAsia"/>
                <w:szCs w:val="21"/>
              </w:rPr>
            </w:pPr>
            <w:r>
              <w:rPr>
                <w:rFonts w:hint="eastAsia" w:asciiTheme="minorEastAsia" w:hAnsiTheme="minorEastAsia" w:cstheme="minorEastAsia"/>
                <w:szCs w:val="21"/>
              </w:rPr>
              <w:t>支持吸烟检测、火点检测、烟雾检测、温度异常检测及音频异常探测；</w:t>
            </w:r>
          </w:p>
          <w:p w14:paraId="45A847A2">
            <w:pPr>
              <w:ind w:right="159"/>
              <w:rPr>
                <w:rFonts w:hint="eastAsia" w:asciiTheme="minorEastAsia" w:hAnsiTheme="minorEastAsia" w:cstheme="minorEastAsia"/>
                <w:szCs w:val="21"/>
              </w:rPr>
            </w:pPr>
            <w:r>
              <w:rPr>
                <w:rFonts w:hint="eastAsia" w:asciiTheme="minorEastAsia" w:hAnsiTheme="minorEastAsia" w:cstheme="minorEastAsia"/>
                <w:szCs w:val="21"/>
              </w:rPr>
              <w:t>支持普通测温与专家测温模式，支持点、线、区域多规则测温与阈值报警；</w:t>
            </w:r>
          </w:p>
          <w:p w14:paraId="63D0F162">
            <w:pPr>
              <w:ind w:right="159"/>
              <w:rPr>
                <w:rFonts w:hint="eastAsia" w:asciiTheme="minorEastAsia" w:hAnsiTheme="minorEastAsia" w:cstheme="minorEastAsia"/>
                <w:szCs w:val="21"/>
              </w:rPr>
            </w:pPr>
            <w:r>
              <w:rPr>
                <w:rFonts w:hint="eastAsia" w:asciiTheme="minorEastAsia" w:hAnsiTheme="minorEastAsia" w:cstheme="minorEastAsia"/>
                <w:szCs w:val="21"/>
              </w:rPr>
              <w:t>支持双光融合、误报抑制算法（如太阳反光去误报），支持全屏测温与区域测温。</w:t>
            </w:r>
          </w:p>
          <w:p w14:paraId="61C92D24">
            <w:pPr>
              <w:ind w:right="159"/>
              <w:rPr>
                <w:rFonts w:hint="eastAsia" w:asciiTheme="minorEastAsia" w:hAnsiTheme="minorEastAsia" w:cstheme="minorEastAsia"/>
                <w:szCs w:val="21"/>
              </w:rPr>
            </w:pPr>
            <w:r>
              <w:rPr>
                <w:rFonts w:hint="eastAsia" w:asciiTheme="minorEastAsia" w:hAnsiTheme="minorEastAsia" w:cstheme="minorEastAsia"/>
                <w:szCs w:val="21"/>
              </w:rPr>
              <w:t>2.测温与热成像性能</w:t>
            </w:r>
          </w:p>
          <w:p w14:paraId="7DD5B789">
            <w:pPr>
              <w:ind w:right="159"/>
              <w:rPr>
                <w:rFonts w:hint="eastAsia" w:asciiTheme="minorEastAsia" w:hAnsiTheme="minorEastAsia" w:cstheme="minorEastAsia"/>
                <w:szCs w:val="21"/>
              </w:rPr>
            </w:pPr>
            <w:r>
              <w:rPr>
                <w:rFonts w:hint="eastAsia" w:asciiTheme="minorEastAsia" w:hAnsiTheme="minorEastAsia" w:cstheme="minorEastAsia"/>
                <w:szCs w:val="21"/>
              </w:rPr>
              <w:t>热成像探测器：氧化钒非制冷型，像元尺寸 ≤12 μm，分辨率 ≥256×192；</w:t>
            </w:r>
          </w:p>
          <w:p w14:paraId="0AEEED79">
            <w:pPr>
              <w:ind w:right="159"/>
              <w:rPr>
                <w:rFonts w:hint="eastAsia" w:asciiTheme="minorEastAsia" w:hAnsiTheme="minorEastAsia" w:cstheme="minorEastAsia"/>
                <w:szCs w:val="21"/>
              </w:rPr>
            </w:pPr>
            <w:r>
              <w:rPr>
                <w:rFonts w:hint="eastAsia" w:asciiTheme="minorEastAsia" w:hAnsiTheme="minorEastAsia" w:cstheme="minorEastAsia"/>
                <w:szCs w:val="21"/>
              </w:rPr>
              <w:t>响应波段：8–14 μm；</w:t>
            </w:r>
          </w:p>
          <w:p w14:paraId="0B18E140">
            <w:pPr>
              <w:ind w:right="159"/>
              <w:rPr>
                <w:rFonts w:hint="eastAsia" w:asciiTheme="minorEastAsia" w:hAnsiTheme="minorEastAsia" w:cstheme="minorEastAsia"/>
                <w:szCs w:val="21"/>
              </w:rPr>
            </w:pPr>
            <w:r>
              <w:rPr>
                <w:rFonts w:hint="eastAsia" w:asciiTheme="minorEastAsia" w:hAnsiTheme="minorEastAsia" w:cstheme="minorEastAsia"/>
                <w:szCs w:val="21"/>
              </w:rPr>
              <w:t>测温范围：-20 ℃～650 ℃；</w:t>
            </w:r>
          </w:p>
          <w:p w14:paraId="548600C2">
            <w:pPr>
              <w:ind w:right="159"/>
              <w:rPr>
                <w:rFonts w:hint="eastAsia" w:asciiTheme="minorEastAsia" w:hAnsiTheme="minorEastAsia" w:cstheme="minorEastAsia"/>
                <w:szCs w:val="21"/>
              </w:rPr>
            </w:pPr>
            <w:r>
              <w:rPr>
                <w:rFonts w:hint="eastAsia" w:asciiTheme="minorEastAsia" w:hAnsiTheme="minorEastAsia" w:cstheme="minorEastAsia"/>
                <w:szCs w:val="21"/>
              </w:rPr>
              <w:t>测温精度：±2 ℃或读数的±2%；</w:t>
            </w:r>
          </w:p>
          <w:p w14:paraId="33D7E845">
            <w:pPr>
              <w:ind w:right="159"/>
              <w:rPr>
                <w:rFonts w:hint="eastAsia" w:asciiTheme="minorEastAsia" w:hAnsiTheme="minorEastAsia" w:cstheme="minorEastAsia"/>
                <w:szCs w:val="21"/>
              </w:rPr>
            </w:pPr>
            <w:r>
              <w:rPr>
                <w:rFonts w:hint="eastAsia" w:asciiTheme="minorEastAsia" w:hAnsiTheme="minorEastAsia" w:cstheme="minorEastAsia"/>
                <w:szCs w:val="21"/>
              </w:rPr>
              <w:t>NETD ≤35 mK；</w:t>
            </w:r>
          </w:p>
          <w:p w14:paraId="7CF67814">
            <w:pPr>
              <w:ind w:right="159"/>
              <w:rPr>
                <w:rFonts w:hint="eastAsia" w:asciiTheme="minorEastAsia" w:hAnsiTheme="minorEastAsia" w:cstheme="minorEastAsia"/>
                <w:szCs w:val="21"/>
              </w:rPr>
            </w:pPr>
            <w:r>
              <w:rPr>
                <w:rFonts w:hint="eastAsia" w:asciiTheme="minorEastAsia" w:hAnsiTheme="minorEastAsia" w:cstheme="minorEastAsia"/>
                <w:szCs w:val="21"/>
              </w:rPr>
              <w:t>支持多伪彩显示与AGC模式（线性/直方图/自适应）。</w:t>
            </w:r>
          </w:p>
          <w:p w14:paraId="16698F61">
            <w:pPr>
              <w:ind w:right="159"/>
              <w:rPr>
                <w:rFonts w:hint="eastAsia" w:asciiTheme="minorEastAsia" w:hAnsiTheme="minorEastAsia" w:cstheme="minorEastAsia"/>
                <w:szCs w:val="21"/>
              </w:rPr>
            </w:pPr>
            <w:r>
              <w:rPr>
                <w:rFonts w:hint="eastAsia" w:asciiTheme="minorEastAsia" w:hAnsiTheme="minorEastAsia" w:cstheme="minorEastAsia"/>
                <w:szCs w:val="21"/>
              </w:rPr>
              <w:t>3.可见光成像</w:t>
            </w:r>
          </w:p>
          <w:p w14:paraId="6AAE364E">
            <w:pPr>
              <w:ind w:right="159"/>
              <w:rPr>
                <w:rFonts w:hint="eastAsia" w:asciiTheme="minorEastAsia" w:hAnsiTheme="minorEastAsia" w:cstheme="minorEastAsia"/>
                <w:szCs w:val="21"/>
              </w:rPr>
            </w:pPr>
            <w:r>
              <w:rPr>
                <w:rFonts w:hint="eastAsia" w:asciiTheme="minorEastAsia" w:hAnsiTheme="minorEastAsia" w:cstheme="minorEastAsia"/>
                <w:szCs w:val="21"/>
              </w:rPr>
              <w:t>传感器：≥400万像素星光级 CMOS；</w:t>
            </w:r>
          </w:p>
          <w:p w14:paraId="386645C6">
            <w:pPr>
              <w:ind w:right="159"/>
              <w:rPr>
                <w:rFonts w:hint="eastAsia" w:asciiTheme="minorEastAsia" w:hAnsiTheme="minorEastAsia" w:cstheme="minorEastAsia"/>
                <w:szCs w:val="21"/>
              </w:rPr>
            </w:pPr>
            <w:r>
              <w:rPr>
                <w:rFonts w:hint="eastAsia" w:asciiTheme="minorEastAsia" w:hAnsiTheme="minorEastAsia" w:cstheme="minorEastAsia"/>
                <w:szCs w:val="21"/>
              </w:rPr>
              <w:t>分辨率：≥2688×1520；</w:t>
            </w:r>
          </w:p>
          <w:p w14:paraId="468F84F0">
            <w:pPr>
              <w:ind w:right="159"/>
              <w:rPr>
                <w:rFonts w:hint="eastAsia" w:asciiTheme="minorEastAsia" w:hAnsiTheme="minorEastAsia" w:cstheme="minorEastAsia"/>
                <w:szCs w:val="21"/>
              </w:rPr>
            </w:pPr>
            <w:r>
              <w:rPr>
                <w:rFonts w:hint="eastAsia" w:asciiTheme="minorEastAsia" w:hAnsiTheme="minorEastAsia" w:cstheme="minorEastAsia"/>
                <w:szCs w:val="21"/>
              </w:rPr>
              <w:t>支持红外与白光补光，补光距离 ≥30 m。</w:t>
            </w:r>
          </w:p>
          <w:p w14:paraId="0AEBB405">
            <w:pPr>
              <w:ind w:right="159"/>
              <w:rPr>
                <w:rFonts w:hint="eastAsia" w:asciiTheme="minorEastAsia" w:hAnsiTheme="minorEastAsia" w:cstheme="minorEastAsia"/>
                <w:szCs w:val="21"/>
              </w:rPr>
            </w:pPr>
            <w:r>
              <w:rPr>
                <w:rFonts w:hint="eastAsia" w:asciiTheme="minorEastAsia" w:hAnsiTheme="minorEastAsia" w:cstheme="minorEastAsia"/>
                <w:szCs w:val="21"/>
              </w:rPr>
              <w:t>4.智能与接口</w:t>
            </w:r>
          </w:p>
          <w:p w14:paraId="0F65EC93">
            <w:pPr>
              <w:ind w:right="159"/>
              <w:rPr>
                <w:rFonts w:hint="eastAsia" w:asciiTheme="minorEastAsia" w:hAnsiTheme="minorEastAsia" w:cstheme="minorEastAsia"/>
                <w:szCs w:val="21"/>
              </w:rPr>
            </w:pPr>
            <w:r>
              <w:rPr>
                <w:rFonts w:hint="eastAsia" w:asciiTheme="minorEastAsia" w:hAnsiTheme="minorEastAsia" w:cstheme="minorEastAsia"/>
                <w:szCs w:val="21"/>
              </w:rPr>
              <w:t>支持目标检测、烟火识别、吸烟识别、温度异常分析；</w:t>
            </w:r>
          </w:p>
          <w:p w14:paraId="54318530">
            <w:pPr>
              <w:ind w:right="159"/>
              <w:rPr>
                <w:rFonts w:hint="eastAsia" w:asciiTheme="minorEastAsia" w:hAnsiTheme="minorEastAsia" w:cstheme="minorEastAsia"/>
                <w:szCs w:val="21"/>
              </w:rPr>
            </w:pPr>
            <w:r>
              <w:rPr>
                <w:rFonts w:hint="eastAsia" w:asciiTheme="minorEastAsia" w:hAnsiTheme="minorEastAsia" w:cstheme="minorEastAsia"/>
                <w:szCs w:val="21"/>
              </w:rPr>
              <w:t>支持开放式接口，提供 RESTful API / SDK，支持 RS485、以太网接口，支持标准网络协议。</w:t>
            </w:r>
          </w:p>
          <w:p w14:paraId="0ACF6EB6">
            <w:pPr>
              <w:ind w:right="159"/>
              <w:rPr>
                <w:rFonts w:hint="eastAsia" w:asciiTheme="minorEastAsia" w:hAnsiTheme="minorEastAsia" w:cstheme="minorEastAsia"/>
                <w:szCs w:val="21"/>
              </w:rPr>
            </w:pPr>
            <w:r>
              <w:rPr>
                <w:rFonts w:hint="eastAsia" w:asciiTheme="minorEastAsia" w:hAnsiTheme="minorEastAsia" w:cstheme="minorEastAsia"/>
                <w:szCs w:val="21"/>
              </w:rPr>
              <w:t>5.报警与联动</w:t>
            </w:r>
          </w:p>
          <w:p w14:paraId="52D701A6">
            <w:pPr>
              <w:ind w:right="159"/>
              <w:rPr>
                <w:rFonts w:hint="eastAsia" w:asciiTheme="minorEastAsia" w:hAnsiTheme="minorEastAsia" w:cstheme="minorEastAsia"/>
                <w:szCs w:val="21"/>
              </w:rPr>
            </w:pPr>
            <w:r>
              <w:rPr>
                <w:rFonts w:hint="eastAsia" w:asciiTheme="minorEastAsia" w:hAnsiTheme="minorEastAsia" w:cstheme="minorEastAsia"/>
                <w:szCs w:val="21"/>
              </w:rPr>
              <w:t>支持声光报警、继电器报警输出、音频输入输出；</w:t>
            </w:r>
          </w:p>
          <w:p w14:paraId="1D672CBA">
            <w:pPr>
              <w:ind w:right="159"/>
              <w:rPr>
                <w:rFonts w:hint="eastAsia" w:asciiTheme="minorEastAsia" w:hAnsiTheme="minorEastAsia" w:cstheme="minorEastAsia"/>
                <w:szCs w:val="21"/>
              </w:rPr>
            </w:pPr>
            <w:r>
              <w:rPr>
                <w:rFonts w:hint="eastAsia" w:asciiTheme="minorEastAsia" w:hAnsiTheme="minorEastAsia" w:cstheme="minorEastAsia"/>
                <w:szCs w:val="21"/>
              </w:rPr>
              <w:t>支持事件联动录像、抓拍与告警推送。</w:t>
            </w:r>
          </w:p>
          <w:p w14:paraId="1A2B92DF">
            <w:pPr>
              <w:numPr>
                <w:ilvl w:val="0"/>
                <w:numId w:val="2"/>
              </w:numPr>
              <w:ind w:left="11" w:right="3454" w:firstLine="90"/>
              <w:rPr>
                <w:rFonts w:hint="eastAsia" w:asciiTheme="minorEastAsia" w:hAnsiTheme="minorEastAsia" w:cstheme="minorEastAsia"/>
                <w:szCs w:val="21"/>
              </w:rPr>
            </w:pPr>
            <w:r>
              <w:rPr>
                <w:rFonts w:hint="eastAsia" w:asciiTheme="minorEastAsia" w:hAnsiTheme="minorEastAsia" w:cstheme="minorEastAsia"/>
                <w:szCs w:val="21"/>
              </w:rPr>
              <w:t>网络与存储</w:t>
            </w:r>
          </w:p>
          <w:p w14:paraId="14AE2A70">
            <w:pPr>
              <w:ind w:right="159"/>
              <w:rPr>
                <w:rFonts w:hint="eastAsia" w:asciiTheme="minorEastAsia" w:hAnsiTheme="minorEastAsia" w:cstheme="minorEastAsia"/>
                <w:szCs w:val="21"/>
              </w:rPr>
            </w:pPr>
            <w:r>
              <w:rPr>
                <w:rFonts w:hint="eastAsia" w:asciiTheme="minorEastAsia" w:hAnsiTheme="minorEastAsia" w:cstheme="minorEastAsia"/>
                <w:szCs w:val="21"/>
              </w:rPr>
              <w:t>支持 H.265/H.264 编码；</w:t>
            </w:r>
          </w:p>
          <w:p w14:paraId="789ED1B7">
            <w:pPr>
              <w:ind w:right="159"/>
              <w:rPr>
                <w:rFonts w:hint="eastAsia" w:asciiTheme="minorEastAsia" w:hAnsiTheme="minorEastAsia" w:cstheme="minorEastAsia"/>
                <w:szCs w:val="21"/>
              </w:rPr>
            </w:pPr>
            <w:r>
              <w:rPr>
                <w:rFonts w:hint="eastAsia" w:asciiTheme="minorEastAsia" w:hAnsiTheme="minorEastAsia" w:cstheme="minorEastAsia"/>
                <w:szCs w:val="21"/>
              </w:rPr>
              <w:t>支持 TF 卡本地存储（≥256 GB）；</w:t>
            </w:r>
          </w:p>
          <w:p w14:paraId="7FE0612C">
            <w:pPr>
              <w:ind w:right="159"/>
              <w:rPr>
                <w:rFonts w:hint="eastAsia" w:asciiTheme="minorEastAsia" w:hAnsiTheme="minorEastAsia" w:cstheme="minorEastAsia"/>
                <w:szCs w:val="21"/>
              </w:rPr>
            </w:pPr>
            <w:r>
              <w:rPr>
                <w:rFonts w:hint="eastAsia" w:asciiTheme="minorEastAsia" w:hAnsiTheme="minorEastAsia" w:cstheme="minorEastAsia"/>
                <w:szCs w:val="21"/>
              </w:rPr>
              <w:t>支持 PoE（IEEE 802.3at）与 DC 12V 供电。</w:t>
            </w:r>
          </w:p>
          <w:p w14:paraId="5DFCD363">
            <w:pPr>
              <w:ind w:right="159"/>
              <w:rPr>
                <w:rFonts w:hint="eastAsia" w:asciiTheme="minorEastAsia" w:hAnsiTheme="minorEastAsia" w:cstheme="minorEastAsia"/>
                <w:szCs w:val="21"/>
              </w:rPr>
            </w:pPr>
            <w:r>
              <w:rPr>
                <w:rFonts w:hint="eastAsia" w:asciiTheme="minorEastAsia" w:hAnsiTheme="minorEastAsia" w:cstheme="minorEastAsia"/>
                <w:szCs w:val="21"/>
              </w:rPr>
              <w:t>7.环境与可靠性</w:t>
            </w:r>
          </w:p>
          <w:p w14:paraId="4746674A">
            <w:pPr>
              <w:ind w:right="159"/>
              <w:rPr>
                <w:rFonts w:hint="eastAsia" w:asciiTheme="minorEastAsia" w:hAnsiTheme="minorEastAsia" w:cstheme="minorEastAsia"/>
                <w:szCs w:val="21"/>
              </w:rPr>
            </w:pPr>
            <w:r>
              <w:rPr>
                <w:rFonts w:hint="eastAsia" w:asciiTheme="minorEastAsia" w:hAnsiTheme="minorEastAsia" w:cstheme="minorEastAsia"/>
                <w:szCs w:val="21"/>
              </w:rPr>
              <w:t>防护等级：IP67；</w:t>
            </w:r>
          </w:p>
          <w:p w14:paraId="72F5520E">
            <w:pPr>
              <w:ind w:right="3454"/>
              <w:rPr>
                <w:rFonts w:hint="eastAsia" w:asciiTheme="minorEastAsia" w:hAnsiTheme="minorEastAsia" w:cstheme="minorEastAsia"/>
                <w:szCs w:val="21"/>
              </w:rPr>
            </w:pPr>
            <w:r>
              <w:rPr>
                <w:rFonts w:hint="eastAsia" w:asciiTheme="minorEastAsia" w:hAnsiTheme="minorEastAsia" w:cstheme="minorEastAsia"/>
                <w:szCs w:val="21"/>
              </w:rPr>
              <w:t>工作温度：-40 ℃～70 ℃</w:t>
            </w:r>
          </w:p>
          <w:p w14:paraId="4859CA90">
            <w:pPr>
              <w:ind w:left="101" w:right="3454"/>
              <w:rPr>
                <w:rFonts w:hint="eastAsia" w:asciiTheme="minorEastAsia" w:hAnsiTheme="minorEastAsia" w:cstheme="minorEastAsia"/>
                <w:szCs w:val="21"/>
              </w:rPr>
            </w:pPr>
            <w:r>
              <w:rPr>
                <w:rFonts w:hint="eastAsia" w:asciiTheme="minorEastAsia" w:hAnsiTheme="minorEastAsia" w:cstheme="minorEastAsia"/>
                <w:szCs w:val="21"/>
              </w:rPr>
              <w:t>二、智能模块</w:t>
            </w:r>
          </w:p>
          <w:p w14:paraId="37BCCA4F">
            <w:pPr>
              <w:wordWrap w:val="0"/>
              <w:rPr>
                <w:rFonts w:hint="eastAsia" w:asciiTheme="minorEastAsia" w:hAnsiTheme="minorEastAsia" w:cstheme="minorEastAsia"/>
                <w:szCs w:val="21"/>
              </w:rPr>
            </w:pPr>
            <w:r>
              <w:rPr>
                <w:rFonts w:hint="eastAsia" w:asciiTheme="minorEastAsia" w:hAnsiTheme="minorEastAsia" w:cstheme="minorEastAsia"/>
                <w:szCs w:val="21"/>
              </w:rPr>
              <w:t>1.支持Modbus/TCP/</w:t>
            </w:r>
            <w:r>
              <w:fldChar w:fldCharType="begin"/>
            </w:r>
            <w:r>
              <w:instrText xml:space="preserve"> HYPERLINK "file:///C:\\Users\\HCX\\xwechat_files\\wxid_yg4uyg9u5cy722_13e9\\msg\\file\\2026-01\\HTTP\\MQTT\\OPCUA" </w:instrText>
            </w:r>
            <w:r>
              <w:fldChar w:fldCharType="separate"/>
            </w:r>
            <w:r>
              <w:rPr>
                <w:rFonts w:hint="eastAsia" w:asciiTheme="minorEastAsia" w:hAnsiTheme="minorEastAsia" w:cstheme="minorEastAsia"/>
                <w:szCs w:val="21"/>
              </w:rPr>
              <w:t>HTTP/MQTT/OPC UA</w:t>
            </w:r>
            <w:r>
              <w:rPr>
                <w:rFonts w:hint="eastAsia" w:asciiTheme="minorEastAsia" w:hAnsiTheme="minorEastAsia" w:cstheme="minorEastAsia"/>
                <w:szCs w:val="21"/>
              </w:rPr>
              <w:fldChar w:fldCharType="end"/>
            </w:r>
            <w:r>
              <w:rPr>
                <w:rFonts w:hint="eastAsia" w:asciiTheme="minorEastAsia" w:hAnsiTheme="minorEastAsia" w:cstheme="minorEastAsia"/>
                <w:szCs w:val="21"/>
              </w:rPr>
              <w:t>等协议，采集频率≥10Hz、帧率≥20fps、系统延迟≤500ms。</w:t>
            </w:r>
          </w:p>
          <w:p w14:paraId="60AA03ED">
            <w:pPr>
              <w:rPr>
                <w:rFonts w:hint="eastAsia" w:asciiTheme="minorEastAsia" w:hAnsiTheme="minorEastAsia" w:cstheme="minorEastAsia"/>
                <w:szCs w:val="21"/>
              </w:rPr>
            </w:pPr>
            <w:r>
              <w:rPr>
                <w:rFonts w:hint="eastAsia" w:asciiTheme="minorEastAsia" w:hAnsiTheme="minorEastAsia" w:cstheme="minorEastAsia"/>
                <w:szCs w:val="21"/>
              </w:rPr>
              <w:t>2.检测目标</w:t>
            </w:r>
          </w:p>
          <w:p w14:paraId="75658305">
            <w:pPr>
              <w:ind w:right="116"/>
              <w:rPr>
                <w:rFonts w:hint="eastAsia" w:asciiTheme="minorEastAsia" w:hAnsiTheme="minorEastAsia" w:cstheme="minorEastAsia"/>
                <w:szCs w:val="21"/>
              </w:rPr>
            </w:pPr>
            <w:r>
              <w:rPr>
                <w:rFonts w:hint="eastAsia" w:asciiTheme="minorEastAsia" w:hAnsiTheme="minorEastAsia" w:cstheme="minorEastAsia"/>
                <w:szCs w:val="21"/>
              </w:rPr>
              <w:t>1)关键部件目标框：机头/射野区域相关部件、机架/旋转部位、控制柜/电源模块、冷却/风道区域(以</w:t>
            </w:r>
            <w:r>
              <w:rPr>
                <w:rFonts w:hint="eastAsia" w:asciiTheme="minorEastAsia" w:hAnsiTheme="minorEastAsia" w:cstheme="minorEastAsia"/>
                <w:spacing w:val="-1"/>
                <w:szCs w:val="21"/>
              </w:rPr>
              <w:t>现场确认ROI为</w:t>
            </w:r>
            <w:r>
              <w:rPr>
                <w:rFonts w:hint="eastAsia" w:asciiTheme="minorEastAsia" w:hAnsiTheme="minorEastAsia" w:cstheme="minorEastAsia"/>
                <w:spacing w:val="-5"/>
                <w:szCs w:val="21"/>
              </w:rPr>
              <w:t>准</w:t>
            </w:r>
            <w:r>
              <w:rPr>
                <w:rFonts w:hint="eastAsia" w:asciiTheme="minorEastAsia" w:hAnsiTheme="minorEastAsia" w:cstheme="minorEastAsia"/>
                <w:spacing w:val="-34"/>
                <w:szCs w:val="21"/>
              </w:rPr>
              <w:t xml:space="preserve"> </w:t>
            </w:r>
            <w:r>
              <w:rPr>
                <w:rFonts w:hint="eastAsia" w:asciiTheme="minorEastAsia" w:hAnsiTheme="minorEastAsia" w:cstheme="minorEastAsia"/>
                <w:spacing w:val="-5"/>
                <w:szCs w:val="21"/>
              </w:rPr>
              <w:t>)；</w:t>
            </w:r>
          </w:p>
          <w:p w14:paraId="5260548C">
            <w:pPr>
              <w:ind w:right="35"/>
              <w:rPr>
                <w:rFonts w:hint="eastAsia" w:asciiTheme="minorEastAsia" w:hAnsiTheme="minorEastAsia" w:cstheme="minorEastAsia"/>
                <w:szCs w:val="21"/>
              </w:rPr>
            </w:pPr>
            <w:r>
              <w:rPr>
                <w:rFonts w:hint="eastAsia" w:asciiTheme="minorEastAsia" w:hAnsiTheme="minorEastAsia" w:cstheme="minorEastAsia"/>
                <w:spacing w:val="3"/>
                <w:szCs w:val="21"/>
              </w:rPr>
              <w:t>2)异常事件：温度超阈值、升温速率异常、热点面积异常、</w:t>
            </w:r>
            <w:r>
              <w:rPr>
                <w:rFonts w:hint="eastAsia" w:asciiTheme="minorEastAsia" w:hAnsiTheme="minorEastAsia" w:cstheme="minorEastAsia"/>
                <w:spacing w:val="2"/>
                <w:szCs w:val="21"/>
              </w:rPr>
              <w:t>持续高温滞留；</w:t>
            </w:r>
          </w:p>
          <w:p w14:paraId="549850E8">
            <w:pPr>
              <w:rPr>
                <w:rFonts w:hint="eastAsia" w:asciiTheme="minorEastAsia" w:hAnsiTheme="minorEastAsia" w:cstheme="minorEastAsia"/>
                <w:szCs w:val="21"/>
              </w:rPr>
            </w:pPr>
            <w:r>
              <w:rPr>
                <w:rFonts w:hint="eastAsia" w:asciiTheme="minorEastAsia" w:hAnsiTheme="minorEastAsia" w:cstheme="minorEastAsia"/>
                <w:spacing w:val="-1"/>
                <w:szCs w:val="21"/>
              </w:rPr>
              <w:t>3)模型形态与交付物：</w:t>
            </w:r>
          </w:p>
          <w:p w14:paraId="7264AA25">
            <w:pPr>
              <w:wordWrap w:val="0"/>
              <w:rPr>
                <w:rFonts w:hint="eastAsia" w:asciiTheme="minorEastAsia" w:hAnsiTheme="minorEastAsia" w:cstheme="minorEastAsia"/>
                <w:szCs w:val="21"/>
              </w:rPr>
            </w:pPr>
            <w:r>
              <w:rPr>
                <w:rFonts w:hint="eastAsia" w:asciiTheme="minorEastAsia" w:hAnsiTheme="minorEastAsia" w:cstheme="minorEastAsia"/>
                <w:szCs w:val="21"/>
              </w:rPr>
              <w:t>交付格式：ONNX(提供.onnx),说</w:t>
            </w:r>
            <w:r>
              <w:rPr>
                <w:rFonts w:hint="eastAsia" w:asciiTheme="minorEastAsia" w:hAnsiTheme="minorEastAsia" w:cstheme="minorEastAsia"/>
                <w:spacing w:val="-1"/>
                <w:szCs w:val="21"/>
              </w:rPr>
              <w:t>明opset版本、输入尺</w:t>
            </w:r>
            <w:r>
              <w:rPr>
                <w:rFonts w:hint="eastAsia" w:asciiTheme="minorEastAsia" w:hAnsiTheme="minorEastAsia" w:cstheme="minorEastAsia"/>
                <w:szCs w:val="21"/>
              </w:rPr>
              <w:t>寸、预处理方式、类别表、阈值建议；</w:t>
            </w:r>
          </w:p>
          <w:p w14:paraId="1AE053CA">
            <w:pPr>
              <w:wordWrap w:val="0"/>
              <w:rPr>
                <w:rFonts w:hint="eastAsia" w:asciiTheme="minorEastAsia" w:hAnsiTheme="minorEastAsia" w:cstheme="minorEastAsia"/>
                <w:szCs w:val="21"/>
              </w:rPr>
            </w:pPr>
            <w:r>
              <w:rPr>
                <w:rFonts w:hint="eastAsia" w:asciiTheme="minorEastAsia" w:hAnsiTheme="minorEastAsia" w:cstheme="minorEastAsia"/>
                <w:spacing w:val="23"/>
                <w:szCs w:val="21"/>
              </w:rPr>
              <w:t>推理方式：支持GPU加速(</w:t>
            </w:r>
            <w:r>
              <w:rPr>
                <w:rFonts w:asciiTheme="minorEastAsia" w:hAnsiTheme="minorEastAsia" w:cstheme="minorEastAsia"/>
                <w:spacing w:val="23"/>
                <w:szCs w:val="21"/>
              </w:rPr>
              <w:t>TensorRT</w:t>
            </w:r>
            <w:r>
              <w:rPr>
                <w:rFonts w:hint="eastAsia" w:asciiTheme="minorEastAsia" w:hAnsiTheme="minorEastAsia" w:cstheme="minorEastAsia"/>
                <w:spacing w:val="23"/>
                <w:szCs w:val="21"/>
              </w:rPr>
              <w:t>或ONNX</w:t>
            </w:r>
            <w:r>
              <w:rPr>
                <w:rFonts w:hint="eastAsia" w:asciiTheme="minorEastAsia" w:hAnsiTheme="minorEastAsia" w:cstheme="minorEastAsia"/>
                <w:spacing w:val="55"/>
                <w:szCs w:val="21"/>
              </w:rPr>
              <w:t xml:space="preserve"> </w:t>
            </w:r>
            <w:r>
              <w:rPr>
                <w:rFonts w:hint="eastAsia" w:asciiTheme="minorEastAsia" w:hAnsiTheme="minorEastAsia" w:cstheme="minorEastAsia"/>
                <w:spacing w:val="23"/>
                <w:szCs w:val="21"/>
              </w:rPr>
              <w:t>Ru</w:t>
            </w:r>
            <w:r>
              <w:rPr>
                <w:rFonts w:hint="eastAsia" w:asciiTheme="minorEastAsia" w:hAnsiTheme="minorEastAsia" w:cstheme="minorEastAsia"/>
                <w:spacing w:val="22"/>
                <w:szCs w:val="21"/>
              </w:rPr>
              <w:t>ntime</w:t>
            </w:r>
            <w:r>
              <w:rPr>
                <w:rFonts w:hint="eastAsia" w:asciiTheme="minorEastAsia" w:hAnsiTheme="minorEastAsia" w:cstheme="minorEastAsia"/>
                <w:szCs w:val="21"/>
              </w:rPr>
              <w:t xml:space="preserve"> GPU</w:t>
            </w:r>
            <w:r>
              <w:rPr>
                <w:rFonts w:hint="eastAsia" w:asciiTheme="minorEastAsia" w:hAnsiTheme="minorEastAsia" w:cstheme="minorEastAsia"/>
                <w:spacing w:val="1"/>
                <w:szCs w:val="21"/>
              </w:rPr>
              <w:t>)，可本地离线部署，不依赖外网；</w:t>
            </w:r>
          </w:p>
          <w:p w14:paraId="2AFB3A16">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输出结构：每帧输出至少包含</w:t>
            </w:r>
            <w:r>
              <w:rPr>
                <w:rFonts w:hint="eastAsia" w:asciiTheme="minorEastAsia" w:hAnsiTheme="minorEastAsia" w:cstheme="minorEastAsia"/>
                <w:szCs w:val="21"/>
              </w:rPr>
              <w:t>timestamp,bbox,class_id,score.hots</w:t>
            </w:r>
            <w:r>
              <w:rPr>
                <w:rFonts w:hint="eastAsia" w:asciiTheme="minorEastAsia" w:hAnsiTheme="minorEastAsia" w:cstheme="minorEastAsia"/>
                <w:spacing w:val="-1"/>
                <w:szCs w:val="21"/>
              </w:rPr>
              <w:t>pot_temp_max,</w:t>
            </w:r>
            <w:r>
              <w:rPr>
                <w:rFonts w:hint="eastAsia" w:asciiTheme="minorEastAsia" w:hAnsiTheme="minorEastAsia" w:cstheme="minorEastAsia"/>
                <w:szCs w:val="21"/>
              </w:rPr>
              <w:t xml:space="preserve"> </w:t>
            </w:r>
            <w:r>
              <w:rPr>
                <w:rFonts w:hint="eastAsia" w:asciiTheme="minorEastAsia" w:hAnsiTheme="minorEastAsia" w:cstheme="minorEastAsia"/>
                <w:spacing w:val="-1"/>
                <w:szCs w:val="21"/>
              </w:rPr>
              <w:t>hotspot_temp_avg,roi_id(optional)；</w:t>
            </w:r>
          </w:p>
          <w:p w14:paraId="02F01F55">
            <w:pPr>
              <w:wordWrap w:val="0"/>
              <w:rPr>
                <w:rFonts w:hint="eastAsia" w:asciiTheme="minorEastAsia" w:hAnsiTheme="minorEastAsia" w:cstheme="minorEastAsia"/>
                <w:szCs w:val="21"/>
              </w:rPr>
            </w:pPr>
            <w:r>
              <w:rPr>
                <w:rFonts w:hint="eastAsia" w:asciiTheme="minorEastAsia" w:hAnsiTheme="minorEastAsia" w:cstheme="minorEastAsia"/>
                <w:szCs w:val="21"/>
              </w:rPr>
              <w:t>性能指标检测精度：按COCO mAP@[0.5:</w:t>
            </w:r>
            <w:r>
              <w:rPr>
                <w:rFonts w:hint="eastAsia" w:asciiTheme="minorEastAsia" w:hAnsiTheme="minorEastAsia" w:cstheme="minorEastAsia"/>
                <w:spacing w:val="-1"/>
                <w:szCs w:val="21"/>
              </w:rPr>
              <w:t>0.95]评测，mAP</w:t>
            </w:r>
            <w:r>
              <w:rPr>
                <w:rFonts w:hint="eastAsia" w:asciiTheme="minorEastAsia" w:hAnsiTheme="minorEastAsia" w:cstheme="minorEastAsia"/>
                <w:szCs w:val="21"/>
              </w:rPr>
              <w:t xml:space="preserve"> ≥0.75。实时性：在RTX5080级GPU下，解码+推理+温度统计≥30 FPS,连续运行≥30分钟。</w:t>
            </w:r>
          </w:p>
          <w:p w14:paraId="50EEC257">
            <w:pPr>
              <w:rPr>
                <w:rFonts w:hint="eastAsia" w:asciiTheme="minorEastAsia" w:hAnsiTheme="minorEastAsia" w:cstheme="minorEastAsia"/>
                <w:szCs w:val="21"/>
              </w:rPr>
            </w:pPr>
            <w:r>
              <w:rPr>
                <w:rFonts w:hint="eastAsia" w:asciiTheme="minorEastAsia" w:hAnsiTheme="minorEastAsia" w:cstheme="minorEastAsia"/>
                <w:spacing w:val="-1"/>
                <w:szCs w:val="21"/>
              </w:rPr>
              <w:t>3.温度测量与标定要求</w:t>
            </w:r>
          </w:p>
          <w:p w14:paraId="72A261DD">
            <w:pPr>
              <w:rPr>
                <w:rFonts w:hint="eastAsia" w:asciiTheme="minorEastAsia" w:hAnsiTheme="minorEastAsia" w:cstheme="minorEastAsia"/>
                <w:szCs w:val="21"/>
              </w:rPr>
            </w:pPr>
            <w:r>
              <w:rPr>
                <w:rFonts w:hint="eastAsia" w:asciiTheme="minorEastAsia" w:hAnsiTheme="minorEastAsia" w:cstheme="minorEastAsia"/>
                <w:spacing w:val="-1"/>
                <w:szCs w:val="21"/>
              </w:rPr>
              <w:t>温度范围：按现场设备能力；</w:t>
            </w:r>
          </w:p>
          <w:p w14:paraId="5A915F75">
            <w:pPr>
              <w:rPr>
                <w:rFonts w:hint="eastAsia" w:asciiTheme="minorEastAsia" w:hAnsiTheme="minorEastAsia" w:cstheme="minorEastAsia"/>
                <w:szCs w:val="21"/>
              </w:rPr>
            </w:pPr>
            <w:r>
              <w:rPr>
                <w:rFonts w:hint="eastAsia" w:asciiTheme="minorEastAsia" w:hAnsiTheme="minorEastAsia" w:cstheme="minorEastAsia"/>
                <w:szCs w:val="21"/>
              </w:rPr>
              <w:t>测温精度：整机系统测温误差与热像设备指标一致；</w:t>
            </w:r>
          </w:p>
          <w:p w14:paraId="1607F53B">
            <w:pPr>
              <w:ind w:right="127"/>
              <w:rPr>
                <w:rFonts w:hint="eastAsia" w:asciiTheme="minorEastAsia" w:hAnsiTheme="minorEastAsia" w:cstheme="minorEastAsia"/>
                <w:szCs w:val="21"/>
              </w:rPr>
            </w:pPr>
            <w:r>
              <w:rPr>
                <w:rFonts w:hint="eastAsia" w:asciiTheme="minorEastAsia" w:hAnsiTheme="minorEastAsia" w:cstheme="minorEastAsia"/>
                <w:spacing w:val="-1"/>
                <w:szCs w:val="21"/>
              </w:rPr>
              <w:t>统计口径：对每个检测框输出Tmax/Tavg/热点面积，并支持</w:t>
            </w:r>
            <w:r>
              <w:rPr>
                <w:rFonts w:hint="eastAsia" w:asciiTheme="minorEastAsia" w:hAnsiTheme="minorEastAsia" w:cstheme="minorEastAsia"/>
                <w:szCs w:val="21"/>
              </w:rPr>
              <w:t>阈值触发告警。</w:t>
            </w:r>
          </w:p>
          <w:p w14:paraId="4A579739">
            <w:pPr>
              <w:widowControl/>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4.告警与联动</w:t>
            </w:r>
          </w:p>
          <w:p w14:paraId="1D5147CA">
            <w:pPr>
              <w:rPr>
                <w:rFonts w:hint="eastAsia" w:asciiTheme="minorEastAsia" w:hAnsiTheme="minorEastAsia" w:cstheme="minorEastAsia"/>
                <w:szCs w:val="21"/>
              </w:rPr>
            </w:pPr>
            <w:r>
              <w:rPr>
                <w:rFonts w:hint="eastAsia" w:asciiTheme="minorEastAsia" w:hAnsiTheme="minorEastAsia" w:cstheme="minorEastAsia"/>
                <w:szCs w:val="21"/>
              </w:rPr>
              <w:t>告警规则可配置：Tmax</w:t>
            </w:r>
            <w:r>
              <w:rPr>
                <w:rFonts w:hint="eastAsia" w:asciiTheme="minorEastAsia" w:hAnsiTheme="minorEastAsia" w:cstheme="minorEastAsia"/>
                <w:spacing w:val="10"/>
                <w:szCs w:val="21"/>
              </w:rPr>
              <w:t>≥阈值持续N秒触发；</w:t>
            </w:r>
            <w:r>
              <w:rPr>
                <w:rFonts w:hint="eastAsia" w:asciiTheme="minorEastAsia" w:hAnsiTheme="minorEastAsia" w:cstheme="minorEastAsia"/>
                <w:szCs w:val="21"/>
              </w:rPr>
              <w:t>dT</w:t>
            </w:r>
            <w:r>
              <w:rPr>
                <w:rFonts w:hint="eastAsia" w:asciiTheme="minorEastAsia" w:hAnsiTheme="minorEastAsia" w:cstheme="minorEastAsia"/>
                <w:spacing w:val="7"/>
                <w:szCs w:val="21"/>
              </w:rPr>
              <w:t>/</w:t>
            </w:r>
            <w:r>
              <w:rPr>
                <w:rFonts w:hint="eastAsia" w:asciiTheme="minorEastAsia" w:hAnsiTheme="minorEastAsia" w:cstheme="minorEastAsia"/>
                <w:szCs w:val="21"/>
              </w:rPr>
              <w:t>dt</w:t>
            </w:r>
            <w:r>
              <w:rPr>
                <w:rFonts w:hint="eastAsia" w:asciiTheme="minorEastAsia" w:hAnsiTheme="minorEastAsia" w:cstheme="minorEastAsia"/>
                <w:spacing w:val="7"/>
                <w:szCs w:val="21"/>
              </w:rPr>
              <w:t>≥阈值(升温速率)触发；</w:t>
            </w:r>
          </w:p>
          <w:p w14:paraId="523BE14E">
            <w:pPr>
              <w:rPr>
                <w:rFonts w:hint="eastAsia" w:asciiTheme="minorEastAsia" w:hAnsiTheme="minorEastAsia" w:cstheme="minorEastAsia"/>
                <w:szCs w:val="21"/>
              </w:rPr>
            </w:pPr>
            <w:r>
              <w:rPr>
                <w:rFonts w:hint="eastAsia" w:asciiTheme="minorEastAsia" w:hAnsiTheme="minorEastAsia" w:cstheme="minorEastAsia"/>
                <w:spacing w:val="1"/>
                <w:szCs w:val="21"/>
              </w:rPr>
              <w:t>5.功能要求</w:t>
            </w:r>
          </w:p>
          <w:p w14:paraId="5E3F4DC4">
            <w:pPr>
              <w:rPr>
                <w:rFonts w:hint="eastAsia" w:asciiTheme="minorEastAsia" w:hAnsiTheme="minorEastAsia" w:cstheme="minorEastAsia"/>
                <w:spacing w:val="-1"/>
                <w:szCs w:val="21"/>
              </w:rPr>
            </w:pPr>
            <w:r>
              <w:rPr>
                <w:rFonts w:hint="eastAsia" w:asciiTheme="minorEastAsia" w:hAnsiTheme="minorEastAsia" w:cstheme="minorEastAsia"/>
                <w:spacing w:val="-1"/>
                <w:szCs w:val="21"/>
              </w:rPr>
              <w:t>标准放疗设备关键区域目标智能检测与多目标持续ID跟</w:t>
            </w:r>
            <w:r>
              <w:rPr>
                <w:rFonts w:hint="eastAsia" w:asciiTheme="minorEastAsia" w:hAnsiTheme="minorEastAsia" w:cstheme="minorEastAsia"/>
                <w:spacing w:val="-5"/>
                <w:szCs w:val="21"/>
              </w:rPr>
              <w:t>踪；对热点区域面积、温升幅度等关键指标进行阈值判别，</w:t>
            </w:r>
            <w:r>
              <w:rPr>
                <w:rFonts w:hint="eastAsia" w:asciiTheme="minorEastAsia" w:hAnsiTheme="minorEastAsia" w:cstheme="minorEastAsia"/>
                <w:spacing w:val="-3"/>
                <w:szCs w:val="21"/>
              </w:rPr>
              <w:t>超限自动触发告警；告警结果以结构化JSON形式输出，并</w:t>
            </w:r>
            <w:r>
              <w:rPr>
                <w:rFonts w:hint="eastAsia" w:asciiTheme="minorEastAsia" w:hAnsiTheme="minorEastAsia" w:cstheme="minorEastAsia"/>
                <w:spacing w:val="-7"/>
                <w:szCs w:val="21"/>
              </w:rPr>
              <w:t>同步生成关键帧截图，支持本地告警显示、短</w:t>
            </w:r>
            <w:r>
              <w:rPr>
                <w:rFonts w:hint="eastAsia" w:asciiTheme="minorEastAsia" w:hAnsiTheme="minorEastAsia" w:cstheme="minorEastAsia"/>
                <w:spacing w:val="-8"/>
                <w:szCs w:val="21"/>
              </w:rPr>
              <w:t>信推送及预留</w:t>
            </w:r>
            <w:r>
              <w:rPr>
                <w:rFonts w:hint="eastAsia" w:asciiTheme="minorEastAsia" w:hAnsiTheme="minorEastAsia" w:cstheme="minorEastAsia"/>
                <w:szCs w:val="21"/>
              </w:rPr>
              <w:t xml:space="preserve"> </w:t>
            </w:r>
            <w:r>
              <w:rPr>
                <w:rFonts w:hint="eastAsia" w:asciiTheme="minorEastAsia" w:hAnsiTheme="minorEastAsia" w:cstheme="minorEastAsia"/>
                <w:spacing w:val="-1"/>
                <w:szCs w:val="21"/>
              </w:rPr>
              <w:t>RESTful API接口对接。</w:t>
            </w:r>
          </w:p>
        </w:tc>
        <w:tc>
          <w:tcPr>
            <w:tcW w:w="375" w:type="dxa"/>
            <w:noWrap/>
          </w:tcPr>
          <w:p w14:paraId="3D974FA4">
            <w:pPr>
              <w:widowControl/>
              <w:textAlignment w:val="center"/>
              <w:rPr>
                <w:rFonts w:hint="eastAsia" w:asciiTheme="minorEastAsia" w:hAnsiTheme="minorEastAsia" w:cstheme="minorEastAsia"/>
                <w:szCs w:val="21"/>
              </w:rPr>
            </w:pPr>
            <w:r>
              <w:rPr>
                <w:rFonts w:hint="eastAsia" w:asciiTheme="minorEastAsia" w:hAnsiTheme="minorEastAsia" w:cstheme="minorEastAsia"/>
                <w:color w:val="000000"/>
                <w:kern w:val="0"/>
                <w:szCs w:val="21"/>
                <w:lang w:bidi="ar"/>
              </w:rPr>
              <w:t>1</w:t>
            </w:r>
          </w:p>
        </w:tc>
        <w:tc>
          <w:tcPr>
            <w:tcW w:w="465" w:type="dxa"/>
            <w:noWrap/>
          </w:tcPr>
          <w:p w14:paraId="70D70E95">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color w:val="000000"/>
                <w:kern w:val="0"/>
                <w:szCs w:val="21"/>
                <w:lang w:bidi="ar"/>
              </w:rPr>
              <w:t>台</w:t>
            </w:r>
          </w:p>
        </w:tc>
      </w:tr>
      <w:tr w14:paraId="3ED0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405" w:type="dxa"/>
          </w:tcPr>
          <w:p w14:paraId="030A8DE9">
            <w:pPr>
              <w:widowControl/>
              <w:textAlignment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lang w:bidi="ar"/>
              </w:rPr>
              <w:t>4</w:t>
            </w:r>
          </w:p>
        </w:tc>
        <w:tc>
          <w:tcPr>
            <w:tcW w:w="1062" w:type="dxa"/>
            <w:noWrap/>
          </w:tcPr>
          <w:p w14:paraId="46F2E56E">
            <w:pPr>
              <w:ind w:left="170" w:right="75" w:hanging="90"/>
              <w:rPr>
                <w:rFonts w:hint="eastAsia" w:asciiTheme="minorEastAsia" w:hAnsiTheme="minorEastAsia" w:cstheme="minorEastAsia"/>
                <w:szCs w:val="21"/>
              </w:rPr>
            </w:pPr>
            <w:r>
              <w:rPr>
                <w:rFonts w:hint="eastAsia" w:asciiTheme="minorEastAsia" w:hAnsiTheme="minorEastAsia" w:cstheme="minorEastAsia"/>
                <w:spacing w:val="3"/>
                <w:szCs w:val="21"/>
              </w:rPr>
              <w:t>双光谱动</w:t>
            </w:r>
            <w:r>
              <w:rPr>
                <w:rFonts w:hint="eastAsia" w:asciiTheme="minorEastAsia" w:hAnsiTheme="minorEastAsia" w:cstheme="minorEastAsia"/>
                <w:szCs w:val="21"/>
              </w:rPr>
              <w:t xml:space="preserve"> </w:t>
            </w:r>
            <w:r>
              <w:rPr>
                <w:rFonts w:hint="eastAsia" w:asciiTheme="minorEastAsia" w:hAnsiTheme="minorEastAsia" w:cstheme="minorEastAsia"/>
                <w:spacing w:val="-2"/>
                <w:szCs w:val="21"/>
              </w:rPr>
              <w:t>态球机</w:t>
            </w:r>
          </w:p>
          <w:p w14:paraId="6F58993B">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spacing w:val="3"/>
                <w:szCs w:val="21"/>
              </w:rPr>
              <w:t>(含目标</w:t>
            </w:r>
            <w:r>
              <w:rPr>
                <w:rFonts w:hint="eastAsia" w:asciiTheme="minorEastAsia" w:hAnsiTheme="minorEastAsia" w:cstheme="minorEastAsia"/>
                <w:szCs w:val="21"/>
              </w:rPr>
              <w:t xml:space="preserve"> </w:t>
            </w:r>
            <w:r>
              <w:rPr>
                <w:rFonts w:hint="eastAsia" w:asciiTheme="minorEastAsia" w:hAnsiTheme="minorEastAsia" w:cstheme="minorEastAsia"/>
                <w:spacing w:val="-2"/>
                <w:szCs w:val="21"/>
              </w:rPr>
              <w:t>检测智能</w:t>
            </w:r>
            <w:r>
              <w:rPr>
                <w:rFonts w:hint="eastAsia" w:asciiTheme="minorEastAsia" w:hAnsiTheme="minorEastAsia" w:cstheme="minorEastAsia"/>
                <w:szCs w:val="21"/>
              </w:rPr>
              <w:t xml:space="preserve"> </w:t>
            </w:r>
            <w:r>
              <w:rPr>
                <w:rFonts w:hint="eastAsia" w:asciiTheme="minorEastAsia" w:hAnsiTheme="minorEastAsia" w:cstheme="minorEastAsia"/>
                <w:spacing w:val="12"/>
                <w:szCs w:val="21"/>
              </w:rPr>
              <w:t>模块)</w:t>
            </w:r>
          </w:p>
        </w:tc>
        <w:tc>
          <w:tcPr>
            <w:tcW w:w="7759" w:type="dxa"/>
            <w:noWrap/>
          </w:tcPr>
          <w:p w14:paraId="34FB6F56">
            <w:pPr>
              <w:numPr>
                <w:ilvl w:val="0"/>
                <w:numId w:val="3"/>
              </w:numPr>
              <w:rPr>
                <w:rFonts w:hint="eastAsia" w:asciiTheme="minorEastAsia" w:hAnsiTheme="minorEastAsia" w:cstheme="minorEastAsia"/>
                <w:szCs w:val="21"/>
              </w:rPr>
            </w:pPr>
            <w:r>
              <w:rPr>
                <w:rFonts w:hint="eastAsia" w:asciiTheme="minorEastAsia" w:hAnsiTheme="minorEastAsia" w:cstheme="minorEastAsia"/>
                <w:szCs w:val="21"/>
              </w:rPr>
              <w:t>主体设备</w:t>
            </w:r>
          </w:p>
          <w:p w14:paraId="2CEAF64F">
            <w:pPr>
              <w:rPr>
                <w:rFonts w:hint="eastAsia" w:asciiTheme="minorEastAsia" w:hAnsiTheme="minorEastAsia" w:cstheme="minorEastAsia"/>
                <w:szCs w:val="21"/>
              </w:rPr>
            </w:pPr>
            <w:r>
              <w:rPr>
                <w:rFonts w:hint="eastAsia" w:asciiTheme="minorEastAsia" w:hAnsiTheme="minorEastAsia" w:cstheme="minorEastAsia"/>
                <w:szCs w:val="21"/>
              </w:rPr>
              <w:t>1.成像与光学</w:t>
            </w:r>
          </w:p>
          <w:p w14:paraId="4CF7F3CA">
            <w:pPr>
              <w:rPr>
                <w:rFonts w:hint="eastAsia" w:asciiTheme="minorEastAsia" w:hAnsiTheme="minorEastAsia" w:cstheme="minorEastAsia"/>
                <w:szCs w:val="21"/>
              </w:rPr>
            </w:pPr>
            <w:r>
              <w:rPr>
                <w:rFonts w:hint="eastAsia" w:asciiTheme="minorEastAsia" w:hAnsiTheme="minorEastAsia" w:cstheme="minorEastAsia"/>
                <w:szCs w:val="21"/>
              </w:rPr>
              <w:t>双光全景+细节一体化结构，3 寸传感器，细节通道支持 ≥12 倍光学变倍（约 5.7–69 mm），全景通道定焦镜头；</w:t>
            </w:r>
          </w:p>
          <w:p w14:paraId="5F5063F9">
            <w:pPr>
              <w:rPr>
                <w:rFonts w:hint="eastAsia" w:asciiTheme="minorEastAsia" w:hAnsiTheme="minorEastAsia" w:cstheme="minorEastAsia"/>
                <w:szCs w:val="21"/>
              </w:rPr>
            </w:pPr>
            <w:r>
              <w:rPr>
                <w:rFonts w:hint="eastAsia" w:asciiTheme="minorEastAsia" w:hAnsiTheme="minorEastAsia" w:cstheme="minorEastAsia"/>
                <w:szCs w:val="21"/>
              </w:rPr>
              <w:t>分辨率：全景与细节均支持 ≥2560×1440@30 FPS；</w:t>
            </w:r>
          </w:p>
          <w:p w14:paraId="2A182E43">
            <w:pPr>
              <w:rPr>
                <w:rFonts w:hint="eastAsia" w:asciiTheme="minorEastAsia" w:hAnsiTheme="minorEastAsia" w:cstheme="minorEastAsia"/>
                <w:szCs w:val="21"/>
              </w:rPr>
            </w:pPr>
            <w:r>
              <w:rPr>
                <w:rFonts w:hint="eastAsia" w:asciiTheme="minorEastAsia" w:hAnsiTheme="minorEastAsia" w:cstheme="minorEastAsia"/>
                <w:szCs w:val="21"/>
              </w:rPr>
              <w:t>最低照度：彩色 ≤0.02 Lux，黑白 ≤0.005 Lux，支持红外补光；</w:t>
            </w:r>
          </w:p>
          <w:p w14:paraId="7CB37BE8">
            <w:pPr>
              <w:rPr>
                <w:rFonts w:hint="eastAsia" w:asciiTheme="minorEastAsia" w:hAnsiTheme="minorEastAsia" w:cstheme="minorEastAsia"/>
                <w:szCs w:val="21"/>
              </w:rPr>
            </w:pPr>
            <w:r>
              <w:rPr>
                <w:rFonts w:hint="eastAsia" w:asciiTheme="minorEastAsia" w:hAnsiTheme="minorEastAsia" w:cstheme="minorEastAsia"/>
                <w:szCs w:val="21"/>
              </w:rPr>
              <w:t>补光距离：细节红外 ≥80 m，全景红外/白光 ≥30 m。</w:t>
            </w:r>
          </w:p>
          <w:p w14:paraId="0CA55CA2">
            <w:pPr>
              <w:rPr>
                <w:rFonts w:hint="eastAsia" w:asciiTheme="minorEastAsia" w:hAnsiTheme="minorEastAsia" w:cstheme="minorEastAsia"/>
                <w:szCs w:val="21"/>
              </w:rPr>
            </w:pPr>
            <w:r>
              <w:rPr>
                <w:rFonts w:hint="eastAsia" w:asciiTheme="minorEastAsia" w:hAnsiTheme="minorEastAsia" w:cstheme="minorEastAsia"/>
                <w:szCs w:val="21"/>
              </w:rPr>
              <w:t>2.支持水平 ≥350°、垂直 ≥-5°～90°旋转；</w:t>
            </w:r>
          </w:p>
          <w:p w14:paraId="3EDF7550">
            <w:pPr>
              <w:rPr>
                <w:rFonts w:hint="eastAsia" w:asciiTheme="minorEastAsia" w:hAnsiTheme="minorEastAsia" w:cstheme="minorEastAsia"/>
                <w:szCs w:val="21"/>
              </w:rPr>
            </w:pPr>
            <w:r>
              <w:rPr>
                <w:rFonts w:hint="eastAsia" w:asciiTheme="minorEastAsia" w:hAnsiTheme="minorEastAsia" w:cstheme="minorEastAsia"/>
                <w:szCs w:val="21"/>
              </w:rPr>
              <w:t>支持预置位、巡航、守望及多目标自动跟踪（人、车等）；</w:t>
            </w:r>
          </w:p>
          <w:p w14:paraId="1DA45C53">
            <w:pPr>
              <w:rPr>
                <w:rFonts w:hint="eastAsia" w:asciiTheme="minorEastAsia" w:hAnsiTheme="minorEastAsia" w:cstheme="minorEastAsia"/>
                <w:szCs w:val="21"/>
              </w:rPr>
            </w:pPr>
            <w:r>
              <w:rPr>
                <w:rFonts w:hint="eastAsia" w:asciiTheme="minorEastAsia" w:hAnsiTheme="minorEastAsia" w:cstheme="minorEastAsia"/>
                <w:szCs w:val="21"/>
              </w:rPr>
              <w:t>支持全景与细节联动定位、点击放大与画中画显示。</w:t>
            </w:r>
          </w:p>
          <w:p w14:paraId="4576A2F6">
            <w:pPr>
              <w:rPr>
                <w:rFonts w:hint="eastAsia" w:asciiTheme="minorEastAsia" w:hAnsiTheme="minorEastAsia" w:cstheme="minorEastAsia"/>
                <w:szCs w:val="21"/>
              </w:rPr>
            </w:pPr>
            <w:r>
              <w:rPr>
                <w:rFonts w:hint="eastAsia" w:asciiTheme="minorEastAsia" w:hAnsiTheme="minorEastAsia" w:cstheme="minorEastAsia"/>
                <w:szCs w:val="21"/>
              </w:rPr>
              <w:t>3.支持区域入侵、越界、进入/离开区域等智能分析；</w:t>
            </w:r>
          </w:p>
          <w:p w14:paraId="735683CB">
            <w:pPr>
              <w:rPr>
                <w:rFonts w:hint="eastAsia" w:asciiTheme="minorEastAsia" w:hAnsiTheme="minorEastAsia" w:cstheme="minorEastAsia"/>
                <w:szCs w:val="21"/>
              </w:rPr>
            </w:pPr>
            <w:r>
              <w:rPr>
                <w:rFonts w:hint="eastAsia" w:asciiTheme="minorEastAsia" w:hAnsiTheme="minorEastAsia" w:cstheme="minorEastAsia"/>
                <w:szCs w:val="21"/>
              </w:rPr>
              <w:t>支持 ROI 编码、SVC、自适应码率、隐私遮蔽；</w:t>
            </w:r>
          </w:p>
          <w:p w14:paraId="590AE713">
            <w:pPr>
              <w:rPr>
                <w:rFonts w:hint="eastAsia" w:asciiTheme="minorEastAsia" w:hAnsiTheme="minorEastAsia" w:cstheme="minorEastAsia"/>
                <w:szCs w:val="21"/>
              </w:rPr>
            </w:pPr>
            <w:r>
              <w:rPr>
                <w:rFonts w:hint="eastAsia" w:asciiTheme="minorEastAsia" w:hAnsiTheme="minorEastAsia" w:cstheme="minorEastAsia"/>
                <w:szCs w:val="21"/>
              </w:rPr>
              <w:t>支持 H.265/H.264/MJPEG 编码，支持双向语音对讲。</w:t>
            </w:r>
          </w:p>
          <w:p w14:paraId="124FA623">
            <w:pPr>
              <w:rPr>
                <w:rFonts w:hint="eastAsia" w:asciiTheme="minorEastAsia" w:hAnsiTheme="minorEastAsia" w:cstheme="minorEastAsia"/>
                <w:szCs w:val="21"/>
              </w:rPr>
            </w:pPr>
            <w:r>
              <w:rPr>
                <w:rFonts w:hint="eastAsia" w:asciiTheme="minorEastAsia" w:hAnsiTheme="minorEastAsia" w:cstheme="minorEastAsia"/>
                <w:szCs w:val="21"/>
              </w:rPr>
              <w:t>4.支持开放式接口与平台对接能力，兼容 RTSP/ONVIF，提供 RESTful API / SDK，支持第三方系统取流、控制与告警联动；</w:t>
            </w:r>
          </w:p>
          <w:p w14:paraId="14A54537">
            <w:pPr>
              <w:rPr>
                <w:rFonts w:hint="eastAsia" w:asciiTheme="minorEastAsia" w:hAnsiTheme="minorEastAsia" w:cstheme="minorEastAsia"/>
                <w:szCs w:val="21"/>
              </w:rPr>
            </w:pPr>
            <w:r>
              <w:rPr>
                <w:rFonts w:hint="eastAsia" w:asciiTheme="minorEastAsia" w:hAnsiTheme="minorEastAsia" w:cstheme="minorEastAsia"/>
                <w:szCs w:val="21"/>
              </w:rPr>
              <w:t>支持本地抓图、事件抓图及告警联动。</w:t>
            </w:r>
          </w:p>
          <w:p w14:paraId="235D00CF">
            <w:pPr>
              <w:rPr>
                <w:rFonts w:hint="eastAsia" w:asciiTheme="minorEastAsia" w:hAnsiTheme="minorEastAsia" w:cstheme="minorEastAsia"/>
                <w:szCs w:val="21"/>
              </w:rPr>
            </w:pPr>
            <w:r>
              <w:rPr>
                <w:rFonts w:hint="eastAsia" w:asciiTheme="minorEastAsia" w:hAnsiTheme="minorEastAsia" w:cstheme="minorEastAsia"/>
                <w:szCs w:val="21"/>
              </w:rPr>
              <w:t>5.支持 PoE（IEEE 802.3at）与 DC 12V 供电；</w:t>
            </w:r>
          </w:p>
          <w:p w14:paraId="41F4D705">
            <w:pPr>
              <w:rPr>
                <w:rFonts w:hint="eastAsia" w:asciiTheme="minorEastAsia" w:hAnsiTheme="minorEastAsia" w:cstheme="minorEastAsia"/>
                <w:szCs w:val="21"/>
              </w:rPr>
            </w:pPr>
            <w:r>
              <w:rPr>
                <w:rFonts w:hint="eastAsia" w:asciiTheme="minorEastAsia" w:hAnsiTheme="minorEastAsia" w:cstheme="minorEastAsia"/>
                <w:szCs w:val="21"/>
              </w:rPr>
              <w:t>支持 Micro SD 本地存储（≥512 GB）；</w:t>
            </w:r>
          </w:p>
          <w:p w14:paraId="68E9C224">
            <w:pPr>
              <w:rPr>
                <w:rFonts w:hint="eastAsia" w:asciiTheme="minorEastAsia" w:hAnsiTheme="minorEastAsia" w:cstheme="minorEastAsia"/>
                <w:szCs w:val="21"/>
              </w:rPr>
            </w:pPr>
            <w:r>
              <w:rPr>
                <w:rFonts w:hint="eastAsia" w:asciiTheme="minorEastAsia" w:hAnsiTheme="minorEastAsia" w:cstheme="minorEastAsia"/>
                <w:szCs w:val="21"/>
              </w:rPr>
              <w:t>网络接口：10/100M 自适应以太网。</w:t>
            </w:r>
          </w:p>
          <w:p w14:paraId="6AC9CB6C">
            <w:pPr>
              <w:rPr>
                <w:rFonts w:hint="eastAsia" w:asciiTheme="minorEastAsia" w:hAnsiTheme="minorEastAsia" w:cstheme="minorEastAsia"/>
                <w:szCs w:val="21"/>
              </w:rPr>
            </w:pPr>
            <w:r>
              <w:rPr>
                <w:rFonts w:hint="eastAsia" w:asciiTheme="minorEastAsia" w:hAnsiTheme="minorEastAsia" w:cstheme="minorEastAsia"/>
                <w:szCs w:val="21"/>
              </w:rPr>
              <w:t xml:space="preserve">6.防护等级：IP66；工作环境：-30 ℃～50 ℃，湿度 ≤95%（无凝结）；内置麦克风与扬声器，支持声光报警联动。 </w:t>
            </w:r>
          </w:p>
          <w:p w14:paraId="5A8DE119">
            <w:pPr>
              <w:jc w:val="left"/>
              <w:rPr>
                <w:rFonts w:hint="eastAsia" w:asciiTheme="minorEastAsia" w:hAnsiTheme="minorEastAsia" w:cstheme="minorEastAsia"/>
                <w:szCs w:val="21"/>
              </w:rPr>
            </w:pPr>
            <w:r>
              <w:rPr>
                <w:rFonts w:hint="eastAsia" w:asciiTheme="minorEastAsia" w:hAnsiTheme="minorEastAsia" w:cstheme="minorEastAsia"/>
                <w:spacing w:val="28"/>
                <w:szCs w:val="21"/>
              </w:rPr>
              <w:t>二、模块部分</w:t>
            </w:r>
          </w:p>
          <w:p w14:paraId="10016775">
            <w:pPr>
              <w:rPr>
                <w:rFonts w:hint="eastAsia" w:asciiTheme="minorEastAsia" w:hAnsiTheme="minorEastAsia" w:cstheme="minorEastAsia"/>
                <w:szCs w:val="21"/>
              </w:rPr>
            </w:pPr>
            <w:r>
              <w:rPr>
                <w:rFonts w:hint="eastAsia" w:asciiTheme="minorEastAsia" w:hAnsiTheme="minorEastAsia" w:cstheme="minorEastAsia"/>
                <w:szCs w:val="21"/>
              </w:rPr>
              <w:t>1.接入能力：</w:t>
            </w:r>
            <w:r>
              <w:rPr>
                <w:rFonts w:hint="eastAsia" w:asciiTheme="minorEastAsia" w:hAnsiTheme="minorEastAsia" w:cstheme="minorEastAsia"/>
                <w:spacing w:val="-3"/>
                <w:szCs w:val="21"/>
              </w:rPr>
              <w:t>支持RTSP/ONVIF视频流，分辨率≥1920×1080,</w:t>
            </w:r>
            <w:r>
              <w:rPr>
                <w:rFonts w:hint="eastAsia" w:asciiTheme="minorEastAsia" w:hAnsiTheme="minorEastAsia" w:cstheme="minorEastAsia"/>
                <w:spacing w:val="-4"/>
                <w:szCs w:val="21"/>
              </w:rPr>
              <w:t>单路实时</w:t>
            </w:r>
            <w:r>
              <w:rPr>
                <w:rFonts w:hint="eastAsia" w:asciiTheme="minorEastAsia" w:hAnsiTheme="minorEastAsia" w:cstheme="minorEastAsia"/>
                <w:szCs w:val="21"/>
              </w:rPr>
              <w:t xml:space="preserve"> </w:t>
            </w:r>
            <w:r>
              <w:rPr>
                <w:rFonts w:hint="eastAsia" w:asciiTheme="minorEastAsia" w:hAnsiTheme="minorEastAsia" w:cstheme="minorEastAsia"/>
                <w:spacing w:val="-1"/>
                <w:szCs w:val="21"/>
              </w:rPr>
              <w:t>分析。</w:t>
            </w:r>
          </w:p>
          <w:p w14:paraId="20EAB225">
            <w:pPr>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color w:val="auto"/>
                <w:spacing w:val="-1"/>
                <w:szCs w:val="21"/>
                <w:highlight w:val="none"/>
              </w:rPr>
              <w:t>模型形态与交付物：</w:t>
            </w:r>
            <w:r>
              <w:rPr>
                <w:rFonts w:asciiTheme="minorEastAsia" w:hAnsiTheme="minorEastAsia" w:cstheme="minorEastAsia"/>
                <w:color w:val="auto"/>
                <w:spacing w:val="-8"/>
                <w:szCs w:val="21"/>
                <w:highlight w:val="none"/>
              </w:rPr>
              <w:t>提供</w:t>
            </w:r>
            <w:r>
              <w:rPr>
                <w:rFonts w:asciiTheme="minorEastAsia" w:hAnsiTheme="minorEastAsia" w:cstheme="minorEastAsia"/>
                <w:spacing w:val="-8"/>
                <w:szCs w:val="21"/>
                <w:highlight w:val="none"/>
              </w:rPr>
              <w:t>检测、跟踪、事件分析一体化模型，核心算法以 ONNX 格式交付，支持 GPU 推理加速（CUDA/TensorRT/ONNX Runtime GPU），适配 RTX 50</w:t>
            </w:r>
            <w:r>
              <w:rPr>
                <w:rFonts w:hint="eastAsia" w:asciiTheme="minorEastAsia" w:hAnsiTheme="minorEastAsia" w:cstheme="minorEastAsia"/>
                <w:spacing w:val="-8"/>
                <w:szCs w:val="21"/>
                <w:highlight w:val="none"/>
              </w:rPr>
              <w:t>8</w:t>
            </w:r>
            <w:r>
              <w:rPr>
                <w:rFonts w:asciiTheme="minorEastAsia" w:hAnsiTheme="minorEastAsia" w:cstheme="minorEastAsia"/>
                <w:spacing w:val="-8"/>
                <w:szCs w:val="21"/>
                <w:highlight w:val="none"/>
              </w:rPr>
              <w:t>0 显卡。</w:t>
            </w:r>
          </w:p>
          <w:p w14:paraId="66C10995">
            <w:pPr>
              <w:rPr>
                <w:rFonts w:hint="eastAsia" w:asciiTheme="minorEastAsia" w:hAnsiTheme="minorEastAsia" w:cstheme="minorEastAsia"/>
                <w:szCs w:val="21"/>
              </w:rPr>
            </w:pPr>
            <w:r>
              <w:rPr>
                <w:rFonts w:hint="eastAsia" w:asciiTheme="minorEastAsia" w:hAnsiTheme="minorEastAsia" w:cstheme="minorEastAsia"/>
                <w:szCs w:val="21"/>
              </w:rPr>
              <w:t>3.功能要求：</w:t>
            </w:r>
          </w:p>
          <w:p w14:paraId="169998A9">
            <w:pPr>
              <w:widowControl/>
              <w:textAlignment w:val="center"/>
              <w:rPr>
                <w:rFonts w:hint="eastAsia" w:asciiTheme="minorEastAsia" w:hAnsiTheme="minorEastAsia" w:cstheme="minorEastAsia"/>
                <w:spacing w:val="5"/>
                <w:szCs w:val="21"/>
              </w:rPr>
            </w:pPr>
            <w:r>
              <w:rPr>
                <w:rFonts w:hint="eastAsia" w:asciiTheme="minorEastAsia" w:hAnsiTheme="minorEastAsia" w:cstheme="minorEastAsia"/>
                <w:spacing w:val="5"/>
                <w:szCs w:val="21"/>
              </w:rPr>
              <w:t>检测：标准放疗室区域人员及关键区域目标；</w:t>
            </w:r>
          </w:p>
          <w:p w14:paraId="1D8244B8">
            <w:pPr>
              <w:rPr>
                <w:rFonts w:hint="eastAsia" w:asciiTheme="minorEastAsia" w:hAnsiTheme="minorEastAsia" w:cstheme="minorEastAsia"/>
                <w:szCs w:val="21"/>
              </w:rPr>
            </w:pPr>
            <w:r>
              <w:rPr>
                <w:rFonts w:hint="eastAsia" w:asciiTheme="minorEastAsia" w:hAnsiTheme="minorEastAsia" w:cstheme="minorEastAsia"/>
                <w:spacing w:val="8"/>
                <w:szCs w:val="21"/>
              </w:rPr>
              <w:t>跟踪：多目标持续</w:t>
            </w:r>
            <w:r>
              <w:rPr>
                <w:rFonts w:hint="eastAsia" w:asciiTheme="minorEastAsia" w:hAnsiTheme="minorEastAsia" w:cstheme="minorEastAsia"/>
                <w:szCs w:val="21"/>
              </w:rPr>
              <w:t>ID</w:t>
            </w:r>
            <w:r>
              <w:rPr>
                <w:rFonts w:hint="eastAsia" w:asciiTheme="minorEastAsia" w:hAnsiTheme="minorEastAsia" w:cstheme="minorEastAsia"/>
                <w:spacing w:val="8"/>
                <w:szCs w:val="21"/>
              </w:rPr>
              <w:t>跟踪；</w:t>
            </w:r>
          </w:p>
          <w:p w14:paraId="2992F899">
            <w:pPr>
              <w:rPr>
                <w:rFonts w:hint="eastAsia" w:asciiTheme="minorEastAsia" w:hAnsiTheme="minorEastAsia" w:cstheme="minorEastAsia"/>
                <w:szCs w:val="21"/>
              </w:rPr>
            </w:pPr>
            <w:r>
              <w:rPr>
                <w:rFonts w:hint="eastAsia" w:asciiTheme="minorEastAsia" w:hAnsiTheme="minorEastAsia" w:cstheme="minorEastAsia"/>
                <w:spacing w:val="-14"/>
                <w:szCs w:val="21"/>
              </w:rPr>
              <w:t>事件：禁入区闯</w:t>
            </w:r>
            <w:r>
              <w:rPr>
                <w:rFonts w:hint="eastAsia" w:asciiTheme="minorEastAsia" w:hAnsiTheme="minorEastAsia" w:cstheme="minorEastAsia"/>
                <w:spacing w:val="-13"/>
                <w:szCs w:val="21"/>
              </w:rPr>
              <w:t>入、人数异常、滞留超时等，输出结构化JSO</w:t>
            </w:r>
            <w:r>
              <w:rPr>
                <w:rFonts w:hint="eastAsia" w:asciiTheme="minorEastAsia" w:hAnsiTheme="minorEastAsia" w:cstheme="minorEastAsia"/>
                <w:spacing w:val="-6"/>
                <w:szCs w:val="21"/>
              </w:rPr>
              <w:t>N</w:t>
            </w:r>
            <w:r>
              <w:rPr>
                <w:rFonts w:hint="eastAsia" w:asciiTheme="minorEastAsia" w:hAnsiTheme="minorEastAsia" w:cstheme="minorEastAsia"/>
                <w:spacing w:val="1"/>
                <w:szCs w:val="21"/>
              </w:rPr>
              <w:t>告警结果。</w:t>
            </w:r>
          </w:p>
          <w:p w14:paraId="0657D070">
            <w:pPr>
              <w:rPr>
                <w:rFonts w:hint="eastAsia" w:asciiTheme="minorEastAsia" w:hAnsiTheme="minorEastAsia" w:cstheme="minorEastAsia"/>
                <w:szCs w:val="21"/>
              </w:rPr>
            </w:pPr>
            <w:r>
              <w:rPr>
                <w:rFonts w:hint="eastAsia" w:asciiTheme="minorEastAsia" w:hAnsiTheme="minorEastAsia" w:cstheme="minorEastAsia"/>
                <w:spacing w:val="1"/>
                <w:szCs w:val="21"/>
              </w:rPr>
              <w:t>4.精度指标：</w:t>
            </w:r>
            <w:r>
              <w:rPr>
                <w:rFonts w:hint="eastAsia" w:asciiTheme="minorEastAsia" w:hAnsiTheme="minorEastAsia" w:cstheme="minorEastAsia"/>
                <w:szCs w:val="21"/>
              </w:rPr>
              <w:t>在双方确认的验证集上，按COCOmAP@[0.5:0</w:t>
            </w:r>
            <w:r>
              <w:rPr>
                <w:rFonts w:hint="eastAsia" w:asciiTheme="minorEastAsia" w:hAnsiTheme="minorEastAsia" w:cstheme="minorEastAsia"/>
                <w:spacing w:val="-1"/>
                <w:szCs w:val="21"/>
              </w:rPr>
              <w:t>.95]评测，检</w:t>
            </w:r>
            <w:r>
              <w:rPr>
                <w:rFonts w:hint="eastAsia" w:asciiTheme="minorEastAsia" w:hAnsiTheme="minorEastAsia" w:cstheme="minorEastAsia"/>
                <w:szCs w:val="21"/>
              </w:rPr>
              <w:t>测精度mAP≥0.85，提供完整评测报告与脚本。</w:t>
            </w:r>
          </w:p>
          <w:p w14:paraId="71E41DC5">
            <w:pPr>
              <w:rPr>
                <w:rFonts w:hint="eastAsia" w:asciiTheme="minorEastAsia" w:hAnsiTheme="minorEastAsia" w:cstheme="minorEastAsia"/>
                <w:szCs w:val="21"/>
              </w:rPr>
            </w:pPr>
            <w:r>
              <w:rPr>
                <w:rFonts w:hint="eastAsia" w:asciiTheme="minorEastAsia" w:hAnsiTheme="minorEastAsia" w:cstheme="minorEastAsia"/>
                <w:szCs w:val="21"/>
              </w:rPr>
              <w:t>5.实时性指标：在单路1080P视频流、启用GPU(RTX50</w:t>
            </w:r>
            <w:r>
              <w:rPr>
                <w:rFonts w:hint="eastAsia" w:asciiTheme="minorEastAsia" w:hAnsiTheme="minorEastAsia" w:cstheme="minorEastAsia"/>
                <w:spacing w:val="-1"/>
                <w:szCs w:val="21"/>
              </w:rPr>
              <w:t>80)条件下，端到端分析速率≥30 FPS(含检测、跟踪与事件判定)，连续</w:t>
            </w:r>
            <w:r>
              <w:rPr>
                <w:rFonts w:hint="eastAsia" w:asciiTheme="minorEastAsia" w:hAnsiTheme="minorEastAsia" w:cstheme="minorEastAsia"/>
                <w:szCs w:val="21"/>
              </w:rPr>
              <w:t>运行不少于30分钟。</w:t>
            </w:r>
          </w:p>
        </w:tc>
        <w:tc>
          <w:tcPr>
            <w:tcW w:w="375" w:type="dxa"/>
            <w:noWrap/>
          </w:tcPr>
          <w:p w14:paraId="5756FA89">
            <w:pPr>
              <w:widowControl/>
              <w:textAlignment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465" w:type="dxa"/>
            <w:noWrap/>
          </w:tcPr>
          <w:p w14:paraId="3ED6503B">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kern w:val="0"/>
                <w:szCs w:val="21"/>
              </w:rPr>
              <w:t>台</w:t>
            </w:r>
          </w:p>
        </w:tc>
      </w:tr>
      <w:tr w14:paraId="159E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05" w:type="dxa"/>
          </w:tcPr>
          <w:p w14:paraId="6A934097">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5</w:t>
            </w:r>
          </w:p>
        </w:tc>
        <w:tc>
          <w:tcPr>
            <w:tcW w:w="1062" w:type="dxa"/>
            <w:noWrap/>
          </w:tcPr>
          <w:p w14:paraId="2E21CB1B">
            <w:pPr>
              <w:widowControl/>
              <w:textAlignment w:val="center"/>
              <w:rPr>
                <w:rFonts w:hint="eastAsia" w:asciiTheme="minorEastAsia" w:hAnsiTheme="minorEastAsia" w:cstheme="minorEastAsia"/>
                <w:spacing w:val="3"/>
                <w:szCs w:val="21"/>
              </w:rPr>
            </w:pPr>
            <w:r>
              <w:rPr>
                <w:rFonts w:hint="eastAsia" w:asciiTheme="minorEastAsia" w:hAnsiTheme="minorEastAsia" w:cstheme="minorEastAsia"/>
                <w:color w:val="000000"/>
                <w:kern w:val="0"/>
                <w:szCs w:val="21"/>
                <w:lang w:bidi="ar"/>
              </w:rPr>
              <w:t>医用辅助设备（推车及操作台）</w:t>
            </w:r>
          </w:p>
        </w:tc>
        <w:tc>
          <w:tcPr>
            <w:tcW w:w="7759" w:type="dxa"/>
            <w:noWrap/>
          </w:tcPr>
          <w:p w14:paraId="61799403">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1.桌子长度1400mm×宽度600mm×高度750mm（±20mm）,桌</w:t>
            </w:r>
            <w:r>
              <w:rPr>
                <w:rFonts w:hint="eastAsia" w:asciiTheme="minorEastAsia" w:hAnsiTheme="minorEastAsia" w:cstheme="minorEastAsia"/>
                <w:spacing w:val="-2"/>
                <w:szCs w:val="21"/>
              </w:rPr>
              <w:t>面材料采用符合国家标准的环保型25mm（±2mm）厚三聚氰胺</w:t>
            </w:r>
            <w:r>
              <w:rPr>
                <w:rFonts w:hint="eastAsia" w:asciiTheme="minorEastAsia" w:hAnsiTheme="minorEastAsia" w:cstheme="minorEastAsia"/>
                <w:spacing w:val="-3"/>
                <w:szCs w:val="21"/>
              </w:rPr>
              <w:t>饰面刨花板</w:t>
            </w:r>
            <w:r>
              <w:rPr>
                <w:rFonts w:hint="eastAsia" w:asciiTheme="minorEastAsia" w:hAnsiTheme="minorEastAsia" w:cstheme="minorEastAsia"/>
                <w:spacing w:val="-2"/>
                <w:szCs w:val="21"/>
              </w:rPr>
              <w:t>。</w:t>
            </w:r>
          </w:p>
          <w:p w14:paraId="103022B1">
            <w:pPr>
              <w:wordWrap w:val="0"/>
              <w:rPr>
                <w:rFonts w:hint="eastAsia" w:asciiTheme="minorEastAsia" w:hAnsiTheme="minorEastAsia" w:cstheme="minorEastAsia"/>
                <w:spacing w:val="2"/>
                <w:szCs w:val="21"/>
              </w:rPr>
            </w:pPr>
            <w:r>
              <w:rPr>
                <w:rFonts w:hint="eastAsia" w:asciiTheme="minorEastAsia" w:hAnsiTheme="minorEastAsia" w:cstheme="minorEastAsia"/>
                <w:spacing w:val="-1"/>
                <w:szCs w:val="21"/>
              </w:rPr>
              <w:t>2.桌腿为长4*宽20mm（±2mm）蝴蝶腿型，管壁厚度</w:t>
            </w:r>
            <w:r>
              <w:rPr>
                <w:rFonts w:hint="eastAsia" w:asciiTheme="minorEastAsia" w:hAnsiTheme="minorEastAsia" w:cstheme="minorEastAsia"/>
                <w:spacing w:val="1"/>
                <w:szCs w:val="21"/>
              </w:rPr>
              <w:t>≥</w:t>
            </w:r>
            <w:r>
              <w:rPr>
                <w:rFonts w:hint="eastAsia" w:asciiTheme="minorEastAsia" w:hAnsiTheme="minorEastAsia" w:cstheme="minorEastAsia"/>
                <w:spacing w:val="-1"/>
                <w:szCs w:val="21"/>
              </w:rPr>
              <w:t>0.8mm,桌子配有</w:t>
            </w:r>
            <w:r>
              <w:rPr>
                <w:rFonts w:hint="eastAsia" w:asciiTheme="minorEastAsia" w:hAnsiTheme="minorEastAsia" w:cstheme="minorEastAsia"/>
                <w:spacing w:val="-4"/>
                <w:szCs w:val="21"/>
              </w:rPr>
              <w:t>机箱门锁，机箱四周均为透气网片，防止机箱过热；</w:t>
            </w:r>
            <w:r>
              <w:rPr>
                <w:rFonts w:hint="eastAsia" w:asciiTheme="minorEastAsia" w:hAnsiTheme="minorEastAsia" w:cstheme="minorEastAsia"/>
                <w:spacing w:val="-5"/>
                <w:szCs w:val="21"/>
              </w:rPr>
              <w:t>桌角配</w:t>
            </w:r>
            <w:r>
              <w:rPr>
                <w:rFonts w:hint="eastAsia" w:asciiTheme="minorEastAsia" w:hAnsiTheme="minorEastAsia" w:cstheme="minorEastAsia"/>
                <w:spacing w:val="-1"/>
                <w:szCs w:val="21"/>
              </w:rPr>
              <w:t>有PVC异型脚垫，下身桌架经焊接后除油，除锈，酸洗，磷</w:t>
            </w:r>
            <w:r>
              <w:rPr>
                <w:rFonts w:hint="eastAsia" w:asciiTheme="minorEastAsia" w:hAnsiTheme="minorEastAsia" w:cstheme="minorEastAsia"/>
                <w:spacing w:val="-12"/>
                <w:szCs w:val="21"/>
              </w:rPr>
              <w:t>化</w:t>
            </w:r>
            <w:r>
              <w:rPr>
                <w:rFonts w:hint="eastAsia" w:asciiTheme="minorEastAsia" w:hAnsiTheme="minorEastAsia" w:cstheme="minorEastAsia"/>
                <w:spacing w:val="-11"/>
                <w:szCs w:val="21"/>
              </w:rPr>
              <w:t>后静电粉末喷塑，成型后光滑、无异味。承重</w:t>
            </w:r>
            <w:r>
              <w:rPr>
                <w:rFonts w:hint="eastAsia" w:asciiTheme="minorEastAsia" w:hAnsiTheme="minorEastAsia" w:cstheme="minorEastAsia"/>
                <w:szCs w:val="21"/>
              </w:rPr>
              <w:t>≥</w:t>
            </w:r>
            <w:r>
              <w:rPr>
                <w:rFonts w:hint="eastAsia" w:asciiTheme="minorEastAsia" w:hAnsiTheme="minorEastAsia" w:cstheme="minorEastAsia"/>
                <w:spacing w:val="2"/>
                <w:szCs w:val="21"/>
              </w:rPr>
              <w:t>200KG。</w:t>
            </w:r>
          </w:p>
          <w:p w14:paraId="21AF8D7C">
            <w:pPr>
              <w:wordWrap w:val="0"/>
              <w:rPr>
                <w:rFonts w:hint="eastAsia" w:asciiTheme="minorEastAsia" w:hAnsiTheme="minorEastAsia" w:cstheme="minorEastAsia"/>
                <w:spacing w:val="1"/>
                <w:szCs w:val="21"/>
              </w:rPr>
            </w:pPr>
            <w:r>
              <w:rPr>
                <w:rFonts w:hint="eastAsia" w:asciiTheme="minorEastAsia" w:hAnsiTheme="minorEastAsia" w:cstheme="minorEastAsia"/>
                <w:spacing w:val="1"/>
                <w:szCs w:val="21"/>
              </w:rPr>
              <w:t>3.含支架：</w:t>
            </w:r>
          </w:p>
          <w:p w14:paraId="66D395D3">
            <w:pPr>
              <w:wordWrap w:val="0"/>
              <w:rPr>
                <w:rFonts w:hint="eastAsia" w:asciiTheme="minorEastAsia" w:hAnsiTheme="minorEastAsia" w:cstheme="minorEastAsia"/>
                <w:spacing w:val="1"/>
                <w:szCs w:val="21"/>
              </w:rPr>
            </w:pPr>
            <w:r>
              <w:rPr>
                <w:rFonts w:hint="eastAsia" w:asciiTheme="minorEastAsia" w:hAnsiTheme="minorEastAsia" w:cstheme="minorEastAsia"/>
                <w:spacing w:val="1"/>
                <w:szCs w:val="21"/>
              </w:rPr>
              <w:t>(1)摄像头支架x2：支架高度≥1000mm，使用碳素钢材质，支持方向调节：水平360°、垂直90°。</w:t>
            </w:r>
          </w:p>
          <w:p w14:paraId="5E27C04D">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(2)双屏显示器支架x1,PPC冷轧钢+塑料；白色；插入式VESA板适用孔距：75*75mm、100*100mm；适配尺寸：17-32英寸；弹簧类型：新升级气动弹簧，承重范围：单臂</w:t>
            </w:r>
            <w:r>
              <w:rPr>
                <w:rFonts w:hint="eastAsia" w:asciiTheme="minorEastAsia" w:hAnsiTheme="minorEastAsia" w:cstheme="minorEastAsia"/>
                <w:szCs w:val="21"/>
              </w:rPr>
              <w:t>≥</w:t>
            </w:r>
            <w:r>
              <w:rPr>
                <w:rFonts w:hint="eastAsia" w:asciiTheme="minorEastAsia" w:hAnsiTheme="minorEastAsia" w:cstheme="minorEastAsia"/>
                <w:spacing w:val="1"/>
                <w:szCs w:val="21"/>
              </w:rPr>
              <w:t>9KG、双臂</w:t>
            </w:r>
            <w:r>
              <w:rPr>
                <w:rFonts w:hint="eastAsia" w:asciiTheme="minorEastAsia" w:hAnsiTheme="minorEastAsia" w:cstheme="minorEastAsia"/>
                <w:szCs w:val="21"/>
              </w:rPr>
              <w:t>≥</w:t>
            </w:r>
            <w:r>
              <w:rPr>
                <w:rFonts w:hint="eastAsia" w:asciiTheme="minorEastAsia" w:hAnsiTheme="minorEastAsia" w:cstheme="minorEastAsia"/>
                <w:spacing w:val="1"/>
                <w:szCs w:val="21"/>
              </w:rPr>
              <w:t>18KG；支持穿孔式、夹持式两种安装方式，适用桌板厚度：穿孔75mm、夹持75mm。</w:t>
            </w:r>
          </w:p>
          <w:p w14:paraId="36094575">
            <w:pPr>
              <w:widowControl/>
              <w:wordWrap w:val="0"/>
              <w:textAlignment w:val="center"/>
              <w:rPr>
                <w:rFonts w:hint="eastAsia" w:asciiTheme="minorEastAsia" w:hAnsiTheme="minorEastAsia" w:cstheme="minorEastAsia"/>
                <w:szCs w:val="21"/>
              </w:rPr>
            </w:pPr>
            <w:r>
              <w:rPr>
                <w:rFonts w:hint="eastAsia" w:asciiTheme="minorEastAsia" w:hAnsiTheme="minorEastAsia" w:cstheme="minorEastAsia"/>
                <w:szCs w:val="21"/>
              </w:rPr>
              <w:t>(3)笔记本电脑悬浮升降悬臂支架x2，液压支架参数：使用4.0气弹簧，支持360°多维度旋转拉伸调屏；镂空面板内设多列竖孔；双边可调节，稳固夹持，快速拿取设有防滑硅胶垫，防滑不移位；手拧螺丝快装，支持穿孔/夹持两种安装方式；适用VESA孔距：75*75mm, 100*100mm；适配尺寸：17英寸。</w:t>
            </w:r>
          </w:p>
        </w:tc>
        <w:tc>
          <w:tcPr>
            <w:tcW w:w="375" w:type="dxa"/>
            <w:noWrap/>
          </w:tcPr>
          <w:p w14:paraId="1CBA5A2B">
            <w:pPr>
              <w:widowControl/>
              <w:textAlignment w:val="center"/>
              <w:rPr>
                <w:rFonts w:hint="eastAsia" w:asciiTheme="minorEastAsia" w:hAnsiTheme="minorEastAsia" w:cstheme="minorEastAsia"/>
                <w:szCs w:val="21"/>
              </w:rPr>
            </w:pPr>
            <w:r>
              <w:rPr>
                <w:rFonts w:hint="eastAsia" w:asciiTheme="minorEastAsia" w:hAnsiTheme="minorEastAsia" w:cstheme="minorEastAsia"/>
                <w:color w:val="000000"/>
                <w:kern w:val="0"/>
                <w:szCs w:val="21"/>
                <w:lang w:bidi="ar"/>
              </w:rPr>
              <w:t>1</w:t>
            </w:r>
          </w:p>
        </w:tc>
        <w:tc>
          <w:tcPr>
            <w:tcW w:w="465" w:type="dxa"/>
            <w:noWrap/>
          </w:tcPr>
          <w:p w14:paraId="3421F418">
            <w:pPr>
              <w:widowControl/>
              <w:textAlignment w:val="center"/>
              <w:rPr>
                <w:rFonts w:hint="eastAsia" w:asciiTheme="minorEastAsia" w:hAnsiTheme="minorEastAsia" w:cstheme="minorEastAsia"/>
                <w:color w:val="FF0000"/>
                <w:kern w:val="0"/>
                <w:szCs w:val="21"/>
              </w:rPr>
            </w:pPr>
            <w:r>
              <w:rPr>
                <w:rFonts w:hint="eastAsia" w:asciiTheme="minorEastAsia" w:hAnsiTheme="minorEastAsia" w:cstheme="minorEastAsia"/>
                <w:color w:val="000000"/>
                <w:kern w:val="0"/>
                <w:szCs w:val="21"/>
                <w:lang w:bidi="ar"/>
              </w:rPr>
              <w:t>套</w:t>
            </w:r>
          </w:p>
        </w:tc>
      </w:tr>
      <w:tr w14:paraId="07AF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05" w:type="dxa"/>
          </w:tcPr>
          <w:p w14:paraId="6D4CF830">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w:t>
            </w:r>
          </w:p>
        </w:tc>
        <w:tc>
          <w:tcPr>
            <w:tcW w:w="1062" w:type="dxa"/>
            <w:noWrap/>
          </w:tcPr>
          <w:p w14:paraId="3CDA358F">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数据服务</w:t>
            </w:r>
          </w:p>
        </w:tc>
        <w:tc>
          <w:tcPr>
            <w:tcW w:w="7759" w:type="dxa"/>
            <w:noWrap/>
          </w:tcPr>
          <w:p w14:paraId="1A458CFD">
            <w:pPr>
              <w:pStyle w:val="14"/>
              <w:widowControl/>
              <w:wordWrap w:val="0"/>
              <w:spacing w:before="0" w:beforeAutospacing="0" w:after="0" w:afterAutospacing="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一、基础要求</w:t>
            </w:r>
          </w:p>
          <w:p w14:paraId="793E77CF">
            <w:pPr>
              <w:pStyle w:val="14"/>
              <w:widowControl/>
              <w:wordWrap w:val="0"/>
              <w:spacing w:before="0" w:beforeAutospacing="0" w:after="0" w:afterAutospacing="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1.数据规模：≥5000条有效记录(以JSONL行数计)，无重复、无空行。</w:t>
            </w:r>
          </w:p>
          <w:p w14:paraId="6C873F5A">
            <w:pPr>
              <w:wordWrap w:val="0"/>
              <w:rPr>
                <w:rFonts w:hint="eastAsia" w:asciiTheme="minorEastAsia" w:hAnsiTheme="minorEastAsia" w:cstheme="minorEastAsia"/>
                <w:spacing w:val="2"/>
                <w:szCs w:val="21"/>
              </w:rPr>
            </w:pPr>
            <w:r>
              <w:rPr>
                <w:rFonts w:hint="eastAsia" w:asciiTheme="minorEastAsia" w:hAnsiTheme="minorEastAsia" w:cstheme="minorEastAsia"/>
                <w:spacing w:val="-2"/>
                <w:szCs w:val="21"/>
              </w:rPr>
              <w:t>2.覆盖场景：至少包含以下摆位要素的组合样本(每类样本</w:t>
            </w:r>
            <w:r>
              <w:rPr>
                <w:rFonts w:hint="eastAsia" w:asciiTheme="minorEastAsia" w:hAnsiTheme="minorEastAsia" w:cstheme="minorEastAsia"/>
                <w:spacing w:val="2"/>
                <w:szCs w:val="21"/>
              </w:rPr>
              <w:t>不少于总量的5%,可交叉统计)；</w:t>
            </w:r>
          </w:p>
          <w:p w14:paraId="1B9642FA">
            <w:pPr>
              <w:wordWrap w:val="0"/>
              <w:rPr>
                <w:rFonts w:hint="eastAsia" w:asciiTheme="minorEastAsia" w:hAnsiTheme="minorEastAsia" w:cstheme="minorEastAsia"/>
                <w:szCs w:val="21"/>
              </w:rPr>
            </w:pPr>
            <w:r>
              <w:rPr>
                <w:rFonts w:hint="eastAsia" w:asciiTheme="minorEastAsia" w:hAnsiTheme="minorEastAsia" w:cstheme="minorEastAsia"/>
                <w:spacing w:val="2"/>
                <w:szCs w:val="21"/>
              </w:rPr>
              <w:t>体位类型：仰卧/俯卧/侧卧(至少覆盖其中</w:t>
            </w:r>
            <w:r>
              <w:rPr>
                <w:rFonts w:hint="eastAsia" w:asciiTheme="minorEastAsia" w:hAnsiTheme="minorEastAsia" w:cstheme="minorEastAsia"/>
                <w:spacing w:val="1"/>
                <w:szCs w:val="21"/>
              </w:rPr>
              <w:t>两类)；</w:t>
            </w:r>
          </w:p>
          <w:p w14:paraId="6E943E38">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固定方式：热塑膜/真空垫/体位架(至少覆盖其中两类)；治疗部位：头颈/胸部/腹盆/乳腺(至少覆盖其中两类)；</w:t>
            </w:r>
          </w:p>
          <w:p w14:paraId="4823DC89">
            <w:pPr>
              <w:wordWrap w:val="0"/>
              <w:rPr>
                <w:rFonts w:hint="eastAsia" w:asciiTheme="minorEastAsia" w:hAnsiTheme="minorEastAsia" w:cstheme="minorEastAsia"/>
                <w:szCs w:val="21"/>
              </w:rPr>
            </w:pPr>
            <w:r>
              <w:rPr>
                <w:rFonts w:hint="eastAsia" w:asciiTheme="minorEastAsia" w:hAnsiTheme="minorEastAsia" w:cstheme="minorEastAsia"/>
                <w:spacing w:val="-6"/>
                <w:szCs w:val="21"/>
              </w:rPr>
              <w:t>关键操作事件：摆位完成确认、复位调整、偏差复核、体位</w:t>
            </w:r>
            <w:r>
              <w:rPr>
                <w:rFonts w:hint="eastAsia" w:asciiTheme="minorEastAsia" w:hAnsiTheme="minorEastAsia" w:cstheme="minorEastAsia"/>
                <w:spacing w:val="2"/>
                <w:szCs w:val="21"/>
              </w:rPr>
              <w:t>辅助器更换(至少覆盖其中两类)；</w:t>
            </w:r>
          </w:p>
          <w:p w14:paraId="22D046B8">
            <w:pPr>
              <w:wordWrap w:val="0"/>
              <w:rPr>
                <w:rFonts w:hint="eastAsia" w:asciiTheme="minorEastAsia" w:hAnsiTheme="minorEastAsia" w:cstheme="minorEastAsia"/>
                <w:szCs w:val="21"/>
              </w:rPr>
            </w:pPr>
            <w:r>
              <w:rPr>
                <w:rFonts w:hint="eastAsia" w:asciiTheme="minorEastAsia" w:hAnsiTheme="minorEastAsia" w:cstheme="minorEastAsia"/>
                <w:szCs w:val="21"/>
              </w:rPr>
              <w:t>放疗设备状态场景：</w:t>
            </w:r>
            <w:r>
              <w:rPr>
                <w:rFonts w:hint="eastAsia" w:asciiTheme="minorEastAsia" w:hAnsiTheme="minorEastAsia" w:cstheme="minorEastAsia"/>
                <w:spacing w:val="-5"/>
                <w:szCs w:val="21"/>
              </w:rPr>
              <w:t>直线加速器机架不同角度(0°、90°、180°、270°等典型</w:t>
            </w:r>
            <w:r>
              <w:rPr>
                <w:rFonts w:hint="eastAsia" w:asciiTheme="minorEastAsia" w:hAnsiTheme="minorEastAsia" w:cstheme="minorEastAsia"/>
                <w:spacing w:val="3"/>
                <w:szCs w:val="21"/>
              </w:rPr>
              <w:t>工位角度中至少覆盖两类)；</w:t>
            </w:r>
          </w:p>
          <w:p w14:paraId="2B35B73E">
            <w:pPr>
              <w:wordWrap w:val="0"/>
              <w:rPr>
                <w:rFonts w:hint="eastAsia" w:asciiTheme="minorEastAsia" w:hAnsiTheme="minorEastAsia" w:cstheme="minorEastAsia"/>
                <w:szCs w:val="21"/>
              </w:rPr>
            </w:pPr>
            <w:r>
              <w:rPr>
                <w:rFonts w:hint="eastAsia" w:asciiTheme="minorEastAsia" w:hAnsiTheme="minorEastAsia" w:cstheme="minorEastAsia"/>
                <w:szCs w:val="21"/>
              </w:rPr>
              <w:t>影像引导设备工作状态(如CBCT定位、kV影像对位、EPI</w:t>
            </w:r>
            <w:r>
              <w:rPr>
                <w:rFonts w:hint="eastAsia" w:asciiTheme="minorEastAsia" w:hAnsiTheme="minorEastAsia" w:cstheme="minorEastAsia"/>
                <w:spacing w:val="2"/>
                <w:szCs w:val="21"/>
              </w:rPr>
              <w:t>D成像中至少覆盖两类)；</w:t>
            </w:r>
          </w:p>
          <w:p w14:paraId="46C39A6B">
            <w:pPr>
              <w:wordWrap w:val="0"/>
              <w:rPr>
                <w:rFonts w:hint="eastAsia" w:asciiTheme="minorEastAsia" w:hAnsiTheme="minorEastAsia" w:cstheme="minorEastAsia"/>
                <w:szCs w:val="21"/>
              </w:rPr>
            </w:pPr>
            <w:r>
              <w:rPr>
                <w:rFonts w:hint="eastAsia" w:asciiTheme="minorEastAsia" w:hAnsiTheme="minorEastAsia" w:cstheme="minorEastAsia"/>
                <w:spacing w:val="-9"/>
                <w:szCs w:val="21"/>
              </w:rPr>
              <w:t>放疗室环境与安全检测场景：治疗室门开启/关闭状态；禁入</w:t>
            </w:r>
            <w:r>
              <w:rPr>
                <w:rFonts w:hint="eastAsia" w:asciiTheme="minorEastAsia" w:hAnsiTheme="minorEastAsia" w:cstheme="minorEastAsia"/>
                <w:spacing w:val="-8"/>
                <w:szCs w:val="21"/>
              </w:rPr>
              <w:t>区有人/无人场景：工作人员进出、患者就位、陪</w:t>
            </w:r>
            <w:r>
              <w:rPr>
                <w:rFonts w:hint="eastAsia" w:asciiTheme="minorEastAsia" w:hAnsiTheme="minorEastAsia" w:cstheme="minorEastAsia"/>
                <w:spacing w:val="-9"/>
                <w:szCs w:val="21"/>
              </w:rPr>
              <w:t>护离场等典</w:t>
            </w:r>
            <w:r>
              <w:rPr>
                <w:rFonts w:hint="eastAsia" w:asciiTheme="minorEastAsia" w:hAnsiTheme="minorEastAsia" w:cstheme="minorEastAsia"/>
                <w:spacing w:val="15"/>
                <w:szCs w:val="21"/>
              </w:rPr>
              <w:t>型流程节点；</w:t>
            </w:r>
          </w:p>
          <w:p w14:paraId="5907CCFE">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治疗前准备、治疗中监控、治疗结束复位等阶段性场景(至少覆盖其中两类)。</w:t>
            </w:r>
          </w:p>
          <w:p w14:paraId="1B50091D">
            <w:pPr>
              <w:wordWrap w:val="0"/>
              <w:rPr>
                <w:rFonts w:hint="eastAsia" w:asciiTheme="minorEastAsia" w:hAnsiTheme="minorEastAsia" w:cstheme="minorEastAsia"/>
                <w:szCs w:val="21"/>
              </w:rPr>
            </w:pPr>
            <w:r>
              <w:rPr>
                <w:rFonts w:hint="eastAsia" w:asciiTheme="minorEastAsia" w:hAnsiTheme="minorEastAsia" w:cstheme="minorEastAsia"/>
                <w:spacing w:val="-1"/>
                <w:szCs w:val="21"/>
              </w:rPr>
              <w:t>3.数据格式：UTF-8编码JSONL,每条记录字段齐全，不</w:t>
            </w:r>
            <w:r>
              <w:rPr>
                <w:rFonts w:hint="eastAsia" w:asciiTheme="minorEastAsia" w:hAnsiTheme="minorEastAsia" w:cstheme="minorEastAsia"/>
                <w:szCs w:val="21"/>
              </w:rPr>
              <w:t>得缺失；须提供schema.json字段规范说明。</w:t>
            </w:r>
          </w:p>
          <w:p w14:paraId="687A5308">
            <w:pPr>
              <w:wordWrap w:val="0"/>
              <w:rPr>
                <w:rFonts w:hint="eastAsia" w:asciiTheme="minorEastAsia" w:hAnsiTheme="minorEastAsia" w:cstheme="minorEastAsia"/>
                <w:szCs w:val="21"/>
              </w:rPr>
            </w:pPr>
            <w:r>
              <w:rPr>
                <w:rFonts w:hint="eastAsia" w:asciiTheme="minorEastAsia" w:hAnsiTheme="minorEastAsia" w:cstheme="minorEastAsia"/>
                <w:spacing w:val="-10"/>
                <w:szCs w:val="21"/>
              </w:rPr>
              <w:t>4.字段包含但不限于：record_id、patient_hash(不可逆脱敏)、site、</w:t>
            </w:r>
            <w:r>
              <w:rPr>
                <w:rFonts w:hint="eastAsia" w:asciiTheme="minorEastAsia" w:hAnsiTheme="minorEastAsia" w:cstheme="minorEastAsia"/>
                <w:spacing w:val="9"/>
                <w:szCs w:val="21"/>
              </w:rPr>
              <w:t xml:space="preserve"> </w:t>
            </w:r>
            <w:r>
              <w:rPr>
                <w:rFonts w:hint="eastAsia" w:asciiTheme="minorEastAsia" w:hAnsiTheme="minorEastAsia" w:cstheme="minorEastAsia"/>
                <w:spacing w:val="-16"/>
                <w:szCs w:val="21"/>
              </w:rPr>
              <w:t>position、immobilization、timestamp、labels(关</w:t>
            </w:r>
            <w:r>
              <w:rPr>
                <w:rFonts w:hint="eastAsia" w:asciiTheme="minorEastAsia" w:hAnsiTheme="minorEastAsia" w:cstheme="minorEastAsia"/>
                <w:spacing w:val="-17"/>
                <w:szCs w:val="21"/>
              </w:rPr>
              <w:t>键点/区域/偏</w:t>
            </w:r>
            <w:r>
              <w:rPr>
                <w:rFonts w:hint="eastAsia" w:asciiTheme="minorEastAsia" w:hAnsiTheme="minorEastAsia" w:cstheme="minorEastAsia"/>
                <w:szCs w:val="21"/>
              </w:rPr>
              <w:t xml:space="preserve">  </w:t>
            </w:r>
            <w:r>
              <w:rPr>
                <w:rFonts w:hint="eastAsia" w:asciiTheme="minorEastAsia" w:hAnsiTheme="minorEastAsia" w:cstheme="minorEastAsia"/>
                <w:spacing w:val="-2"/>
                <w:szCs w:val="21"/>
              </w:rPr>
              <w:t>差值)、qc_result、desensitization_flag。</w:t>
            </w:r>
          </w:p>
          <w:p w14:paraId="37D04E45">
            <w:pPr>
              <w:wordWrap w:val="0"/>
              <w:rPr>
                <w:rFonts w:hint="eastAsia" w:asciiTheme="minorEastAsia" w:hAnsiTheme="minorEastAsia" w:cstheme="minorEastAsia"/>
                <w:szCs w:val="21"/>
              </w:rPr>
            </w:pPr>
            <w:r>
              <w:rPr>
                <w:rFonts w:hint="eastAsia" w:asciiTheme="minorEastAsia" w:hAnsiTheme="minorEastAsia" w:cstheme="minorEastAsia"/>
                <w:spacing w:val="-6"/>
                <w:szCs w:val="21"/>
              </w:rPr>
              <w:t>5.脱敏要求：完成身份信息不可逆脱敏处理，不含姓名、证</w:t>
            </w:r>
            <w:r>
              <w:rPr>
                <w:rFonts w:hint="eastAsia" w:asciiTheme="minorEastAsia" w:hAnsiTheme="minorEastAsia" w:cstheme="minorEastAsia"/>
                <w:spacing w:val="-2"/>
                <w:szCs w:val="21"/>
              </w:rPr>
              <w:t>件号、电话等直接标识符，符合《个人信息</w:t>
            </w:r>
            <w:r>
              <w:rPr>
                <w:rFonts w:hint="eastAsia" w:asciiTheme="minorEastAsia" w:hAnsiTheme="minorEastAsia" w:cstheme="minorEastAsia"/>
                <w:spacing w:val="-3"/>
                <w:szCs w:val="21"/>
              </w:rPr>
              <w:t>保护法》</w:t>
            </w:r>
            <w:r>
              <w:rPr>
                <w:rFonts w:hint="eastAsia" w:asciiTheme="minorEastAsia" w:hAnsiTheme="minorEastAsia" w:cstheme="minorEastAsia"/>
                <w:spacing w:val="3"/>
                <w:szCs w:val="21"/>
              </w:rPr>
              <w:t>要求，并提供</w:t>
            </w:r>
            <w:r>
              <w:rPr>
                <w:rFonts w:hint="eastAsia" w:asciiTheme="minorEastAsia" w:hAnsiTheme="minorEastAsia" w:cstheme="minorEastAsia"/>
                <w:spacing w:val="-1"/>
                <w:szCs w:val="21"/>
              </w:rPr>
              <w:t>合规承诺函（加盖单位公章）</w:t>
            </w:r>
            <w:r>
              <w:rPr>
                <w:rFonts w:hint="eastAsia" w:asciiTheme="minorEastAsia" w:hAnsiTheme="minorEastAsia" w:cstheme="minorEastAsia"/>
                <w:spacing w:val="3"/>
                <w:szCs w:val="21"/>
              </w:rPr>
              <w:t>。</w:t>
            </w:r>
          </w:p>
          <w:p w14:paraId="4D578A47">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zCs w:val="21"/>
              </w:rPr>
              <w:t>6.质量要求：字段缺失率=0，重复率≤0.5%，提供完整性与</w:t>
            </w:r>
            <w:r>
              <w:rPr>
                <w:rFonts w:hint="eastAsia" w:asciiTheme="minorEastAsia" w:hAnsiTheme="minorEastAsia" w:cstheme="minorEastAsia"/>
                <w:spacing w:val="-1"/>
                <w:szCs w:val="21"/>
              </w:rPr>
              <w:t>分布统计报告。</w:t>
            </w:r>
          </w:p>
          <w:p w14:paraId="32609E22">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二、提交内容及提交方式</w:t>
            </w:r>
          </w:p>
          <w:p w14:paraId="3F9F5E1C">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（一）提交内容</w:t>
            </w:r>
          </w:p>
          <w:p w14:paraId="5FEA3741">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1.提供符合要求的JSONL数据集（不少5000条）1份，采用UTF-8编码，字段完整、无重复、无空行；</w:t>
            </w:r>
          </w:p>
          <w:p w14:paraId="3756A5B6">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2.提供schema.json文件1份，说明各字段名称、数据类型及含义；</w:t>
            </w:r>
          </w:p>
          <w:p w14:paraId="121FFC94">
            <w:pPr>
              <w:widowControl/>
              <w:wordWrap w:val="0"/>
              <w:textAlignment w:val="center"/>
              <w:rPr>
                <w:rFonts w:hint="eastAsia" w:asciiTheme="minorEastAsia" w:hAnsiTheme="minorEastAsia" w:cstheme="minorEastAsia"/>
                <w:color w:val="auto"/>
                <w:spacing w:val="-1"/>
                <w:szCs w:val="21"/>
              </w:rPr>
            </w:pPr>
            <w:r>
              <w:rPr>
                <w:rFonts w:hint="eastAsia" w:asciiTheme="minorEastAsia" w:hAnsiTheme="minorEastAsia" w:cstheme="minorEastAsia"/>
                <w:spacing w:val="-1"/>
                <w:szCs w:val="21"/>
              </w:rPr>
              <w:t>3.提供脱敏承诺函</w:t>
            </w:r>
            <w:r>
              <w:rPr>
                <w:rFonts w:hint="eastAsia" w:asciiTheme="minorEastAsia" w:hAnsiTheme="minorEastAsia" w:cstheme="minorEastAsia"/>
                <w:spacing w:val="-1"/>
                <w:szCs w:val="21"/>
                <w:lang w:val="en-US" w:eastAsia="zh-CN"/>
              </w:rPr>
              <w:t>纸质</w:t>
            </w:r>
            <w:r>
              <w:rPr>
                <w:rFonts w:hint="eastAsia" w:asciiTheme="minorEastAsia" w:hAnsiTheme="minorEastAsia" w:cstheme="minorEastAsia"/>
                <w:spacing w:val="-1"/>
                <w:szCs w:val="21"/>
              </w:rPr>
              <w:t>文件一份并加</w:t>
            </w:r>
            <w:r>
              <w:rPr>
                <w:rFonts w:hint="eastAsia" w:asciiTheme="minorEastAsia" w:hAnsiTheme="minorEastAsia" w:cstheme="minorEastAsia"/>
                <w:spacing w:val="-1"/>
                <w:szCs w:val="21"/>
                <w:highlight w:val="none"/>
              </w:rPr>
              <w:t>盖</w:t>
            </w:r>
            <w:r>
              <w:rPr>
                <w:rFonts w:hint="eastAsia" w:asciiTheme="minorEastAsia" w:hAnsiTheme="minorEastAsia" w:cstheme="minorEastAsia"/>
                <w:color w:val="auto"/>
                <w:spacing w:val="-1"/>
                <w:szCs w:val="21"/>
                <w:highlight w:val="none"/>
                <w:lang w:val="en-US" w:eastAsia="zh-CN"/>
              </w:rPr>
              <w:t>报价人</w:t>
            </w:r>
            <w:r>
              <w:rPr>
                <w:rFonts w:hint="eastAsia" w:asciiTheme="minorEastAsia" w:hAnsiTheme="minorEastAsia" w:cstheme="minorEastAsia"/>
                <w:color w:val="auto"/>
                <w:spacing w:val="-1"/>
                <w:szCs w:val="21"/>
                <w:highlight w:val="none"/>
              </w:rPr>
              <w:t>单</w:t>
            </w:r>
            <w:r>
              <w:rPr>
                <w:rFonts w:hint="eastAsia" w:asciiTheme="minorEastAsia" w:hAnsiTheme="minorEastAsia" w:cstheme="minorEastAsia"/>
                <w:color w:val="auto"/>
                <w:spacing w:val="-1"/>
                <w:szCs w:val="21"/>
              </w:rPr>
              <w:t>位公章；</w:t>
            </w:r>
          </w:p>
          <w:p w14:paraId="70297BDA">
            <w:pPr>
              <w:widowControl/>
              <w:wordWrap w:val="0"/>
              <w:textAlignment w:val="center"/>
              <w:rPr>
                <w:rFonts w:hint="eastAsia" w:asciiTheme="minorEastAsia" w:hAnsiTheme="minorEastAsia" w:cstheme="minorEastAsia"/>
                <w:color w:val="auto"/>
                <w:spacing w:val="-1"/>
                <w:szCs w:val="21"/>
                <w:highlight w:val="none"/>
              </w:rPr>
            </w:pPr>
            <w:r>
              <w:rPr>
                <w:rFonts w:hint="eastAsia" w:asciiTheme="minorEastAsia" w:hAnsiTheme="minorEastAsia" w:cstheme="minorEastAsia"/>
                <w:color w:val="auto"/>
                <w:spacing w:val="-1"/>
                <w:szCs w:val="21"/>
              </w:rPr>
              <w:t>4.提供标注正确率抽检结果及统计纸质说明1份</w:t>
            </w:r>
            <w:r>
              <w:rPr>
                <w:rFonts w:hint="eastAsia" w:asciiTheme="minorEastAsia" w:hAnsiTheme="minorEastAsia" w:cstheme="minorEastAsia"/>
                <w:color w:val="auto"/>
                <w:spacing w:val="-1"/>
                <w:szCs w:val="21"/>
                <w:lang w:eastAsia="zh-CN"/>
              </w:rPr>
              <w:t>（</w:t>
            </w:r>
            <w:r>
              <w:rPr>
                <w:rFonts w:hint="eastAsia" w:asciiTheme="minorEastAsia" w:hAnsiTheme="minorEastAsia" w:cstheme="minorEastAsia"/>
                <w:color w:val="auto"/>
                <w:spacing w:val="-1"/>
                <w:szCs w:val="21"/>
                <w:lang w:val="en-US" w:eastAsia="zh-CN"/>
              </w:rPr>
              <w:t>包含</w:t>
            </w:r>
            <w:r>
              <w:rPr>
                <w:rFonts w:asciiTheme="minorEastAsia" w:hAnsiTheme="minorEastAsia" w:cstheme="minorEastAsia"/>
                <w:color w:val="auto"/>
                <w:spacing w:val="-1"/>
                <w:szCs w:val="21"/>
                <w:highlight w:val="none"/>
              </w:rPr>
              <w:t>放射治疗物理师或放射治疗医师执业资质的</w:t>
            </w:r>
            <w:r>
              <w:rPr>
                <w:rFonts w:hint="eastAsia" w:asciiTheme="minorEastAsia" w:hAnsiTheme="minorEastAsia" w:cstheme="minorEastAsia"/>
                <w:color w:val="auto"/>
                <w:spacing w:val="-1"/>
                <w:szCs w:val="21"/>
                <w:highlight w:val="none"/>
                <w:lang w:val="en-US" w:eastAsia="zh-CN"/>
              </w:rPr>
              <w:t>1名</w:t>
            </w:r>
            <w:r>
              <w:rPr>
                <w:rFonts w:asciiTheme="minorEastAsia" w:hAnsiTheme="minorEastAsia" w:cstheme="minorEastAsia"/>
                <w:color w:val="auto"/>
                <w:spacing w:val="-1"/>
                <w:szCs w:val="21"/>
                <w:highlight w:val="none"/>
              </w:rPr>
              <w:t>专业人员</w:t>
            </w:r>
            <w:r>
              <w:rPr>
                <w:rFonts w:hint="eastAsia" w:asciiTheme="minorEastAsia" w:hAnsiTheme="minorEastAsia" w:cstheme="minorEastAsia"/>
                <w:color w:val="auto"/>
                <w:spacing w:val="-1"/>
                <w:szCs w:val="21"/>
                <w:highlight w:val="none"/>
                <w:lang w:val="en-US" w:eastAsia="zh-CN"/>
              </w:rPr>
              <w:t>确认</w:t>
            </w:r>
            <w:r>
              <w:rPr>
                <w:rFonts w:asciiTheme="minorEastAsia" w:hAnsiTheme="minorEastAsia" w:cstheme="minorEastAsia"/>
                <w:color w:val="auto"/>
                <w:spacing w:val="-1"/>
                <w:szCs w:val="21"/>
                <w:highlight w:val="none"/>
              </w:rPr>
              <w:t>签</w:t>
            </w:r>
            <w:r>
              <w:rPr>
                <w:rFonts w:hint="eastAsia" w:asciiTheme="minorEastAsia" w:hAnsiTheme="minorEastAsia" w:cstheme="minorEastAsia"/>
                <w:color w:val="auto"/>
                <w:spacing w:val="-1"/>
                <w:szCs w:val="21"/>
                <w:highlight w:val="none"/>
                <w:lang w:val="en-US" w:eastAsia="zh-CN"/>
              </w:rPr>
              <w:t>名</w:t>
            </w:r>
            <w:r>
              <w:rPr>
                <w:rFonts w:hint="eastAsia" w:asciiTheme="minorEastAsia" w:hAnsiTheme="minorEastAsia" w:cstheme="minorEastAsia"/>
                <w:color w:val="auto"/>
                <w:spacing w:val="-1"/>
                <w:szCs w:val="21"/>
                <w:highlight w:val="none"/>
                <w:lang w:eastAsia="zh-CN"/>
              </w:rPr>
              <w:t>）</w:t>
            </w:r>
            <w:r>
              <w:rPr>
                <w:rFonts w:asciiTheme="minorEastAsia" w:hAnsiTheme="minorEastAsia" w:cstheme="minorEastAsia"/>
                <w:color w:val="auto"/>
                <w:spacing w:val="-1"/>
                <w:szCs w:val="21"/>
                <w:highlight w:val="none"/>
              </w:rPr>
              <w:t>加盖</w:t>
            </w:r>
            <w:r>
              <w:rPr>
                <w:rFonts w:hint="eastAsia" w:asciiTheme="minorEastAsia" w:hAnsiTheme="minorEastAsia" w:cstheme="minorEastAsia"/>
                <w:color w:val="auto"/>
                <w:spacing w:val="-1"/>
                <w:szCs w:val="21"/>
                <w:highlight w:val="none"/>
                <w:lang w:val="en-US" w:eastAsia="zh-CN"/>
              </w:rPr>
              <w:t>报价人</w:t>
            </w:r>
            <w:r>
              <w:rPr>
                <w:rFonts w:asciiTheme="minorEastAsia" w:hAnsiTheme="minorEastAsia" w:cstheme="minorEastAsia"/>
                <w:color w:val="auto"/>
                <w:spacing w:val="-1"/>
                <w:szCs w:val="21"/>
                <w:highlight w:val="none"/>
              </w:rPr>
              <w:t>单位公章，并</w:t>
            </w:r>
            <w:r>
              <w:rPr>
                <w:rFonts w:hint="eastAsia" w:asciiTheme="minorEastAsia" w:hAnsiTheme="minorEastAsia" w:cstheme="minorEastAsia"/>
                <w:color w:val="auto"/>
                <w:spacing w:val="-1"/>
                <w:szCs w:val="21"/>
                <w:highlight w:val="none"/>
                <w:lang w:val="en-US" w:eastAsia="zh-CN"/>
              </w:rPr>
              <w:t>随说明附专业人员清晰有效资质证明材料</w:t>
            </w:r>
            <w:r>
              <w:rPr>
                <w:rFonts w:asciiTheme="minorEastAsia" w:hAnsiTheme="minorEastAsia" w:cstheme="minorEastAsia"/>
                <w:color w:val="auto"/>
                <w:spacing w:val="-1"/>
                <w:szCs w:val="21"/>
                <w:highlight w:val="none"/>
              </w:rPr>
              <w:t>。文件内容包括抽检样本量、抽检方法、各类别标注准确率统计结果及结论性意见，作为数据质量验收的重要依据。</w:t>
            </w:r>
          </w:p>
          <w:p w14:paraId="02813BFB">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数据文件与相关文档按统一目录结构打包，文件结构示例：</w:t>
            </w:r>
          </w:p>
          <w:p w14:paraId="32E6C14F">
            <w:pPr>
              <w:widowControl/>
              <w:wordWrap w:val="0"/>
              <w:textAlignment w:val="center"/>
              <w:rPr>
                <w:rFonts w:hint="eastAsia" w:asciiTheme="minorEastAsia" w:hAnsiTheme="minorEastAsia" w:cstheme="minorEastAsia"/>
                <w:spacing w:val="-1"/>
                <w:szCs w:val="21"/>
              </w:rPr>
            </w:pPr>
            <w:r>
              <w:drawing>
                <wp:inline distT="0" distB="0" distL="0" distR="0">
                  <wp:extent cx="1861820" cy="811530"/>
                  <wp:effectExtent l="0" t="0" r="5080" b="7620"/>
                  <wp:docPr id="1217657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57813" name="图片 1"/>
                          <pic:cNvPicPr>
                            <a:picLocks noChangeAspect="1"/>
                          </pic:cNvPicPr>
                        </pic:nvPicPr>
                        <pic:blipFill>
                          <a:blip r:embed="rId5"/>
                          <a:stretch>
                            <a:fillRect/>
                          </a:stretch>
                        </pic:blipFill>
                        <pic:spPr>
                          <a:xfrm>
                            <a:off x="0" y="0"/>
                            <a:ext cx="1896333" cy="826865"/>
                          </a:xfrm>
                          <a:prstGeom prst="rect">
                            <a:avLst/>
                          </a:prstGeom>
                        </pic:spPr>
                      </pic:pic>
                    </a:graphicData>
                  </a:graphic>
                </wp:inline>
              </w:drawing>
            </w:r>
          </w:p>
          <w:p w14:paraId="5992C539">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（二）提交方式</w:t>
            </w:r>
          </w:p>
          <w:p w14:paraId="6EA4FE29">
            <w:pPr>
              <w:widowControl/>
              <w:wordWrap w:val="0"/>
              <w:textAlignment w:val="center"/>
              <w:rPr>
                <w:rFonts w:hint="eastAsia" w:asciiTheme="minorEastAsia" w:hAnsiTheme="minorEastAsia" w:cstheme="minorEastAsia"/>
                <w:spacing w:val="-1"/>
                <w:szCs w:val="21"/>
              </w:rPr>
            </w:pPr>
            <w:r>
              <w:rPr>
                <w:rFonts w:hint="eastAsia" w:asciiTheme="minorEastAsia" w:hAnsiTheme="minorEastAsia" w:cstheme="minorEastAsia"/>
                <w:spacing w:val="-1"/>
                <w:szCs w:val="21"/>
              </w:rPr>
              <w:t>项目完成后，须用U盘或移动硬盘实体存储装置一式两份交付。里面必须包括最终交付的成品文件、过程文件。U盘或移动硬盘必须是带原厂正规包装且原厂质保期不低于三年，接口为USB3.0及以上，否则不予接收。</w:t>
            </w:r>
          </w:p>
          <w:p w14:paraId="4AB75EA9">
            <w:pPr>
              <w:widowControl/>
              <w:wordWrap w:val="0"/>
              <w:textAlignment w:val="center"/>
              <w:rPr>
                <w:rFonts w:hint="eastAsia" w:asciiTheme="minorEastAsia" w:hAnsiTheme="minorEastAsia" w:cstheme="minorEastAsia"/>
                <w:spacing w:val="-5"/>
                <w:szCs w:val="21"/>
              </w:rPr>
            </w:pPr>
            <w:r>
              <w:rPr>
                <w:rFonts w:hint="eastAsia" w:asciiTheme="minorEastAsia" w:hAnsiTheme="minorEastAsia" w:cstheme="minorEastAsia"/>
                <w:spacing w:val="-5"/>
                <w:szCs w:val="21"/>
              </w:rPr>
              <w:t>三、数据版权与使用权归属说明</w:t>
            </w:r>
          </w:p>
          <w:p w14:paraId="77B7454B">
            <w:pPr>
              <w:widowControl/>
              <w:wordWrap w:val="0"/>
              <w:textAlignment w:val="center"/>
              <w:rPr>
                <w:rFonts w:hint="eastAsia" w:asciiTheme="minorEastAsia" w:hAnsiTheme="minorEastAsia" w:cstheme="minorEastAsia"/>
                <w:spacing w:val="-5"/>
                <w:szCs w:val="21"/>
              </w:rPr>
            </w:pPr>
            <w:r>
              <w:rPr>
                <w:rFonts w:hint="eastAsia" w:asciiTheme="minorEastAsia" w:hAnsiTheme="minorEastAsia" w:cstheme="minorEastAsia"/>
                <w:spacing w:val="-5"/>
                <w:szCs w:val="21"/>
              </w:rPr>
              <w:t>1.本项目所形成的全部数据成果（包括原始数据整理结果、脱敏数据集、标注结果、结构化 JSONL 文件、字段规范文件及相关报告等），其知识产权及数据使用权归采购方所有。</w:t>
            </w:r>
          </w:p>
          <w:p w14:paraId="4CEA4E86">
            <w:pPr>
              <w:pStyle w:val="7"/>
              <w:spacing w:after="0"/>
              <w:rPr>
                <w:rFonts w:hint="eastAsia" w:asciiTheme="minorEastAsia" w:hAnsiTheme="minorEastAsia" w:cstheme="minorEastAsia"/>
                <w:spacing w:val="-5"/>
                <w:szCs w:val="21"/>
              </w:rPr>
            </w:pPr>
            <w:r>
              <w:rPr>
                <w:rFonts w:hint="eastAsia" w:asciiTheme="minorEastAsia" w:hAnsiTheme="minorEastAsia" w:cstheme="minorEastAsia"/>
                <w:spacing w:val="-5"/>
                <w:szCs w:val="21"/>
              </w:rPr>
              <w:t>2.报价人仅在本项目实施及验收范围内有必要的处理和交付使用权，不得擅自留存、复制、转让、出售或用于与本项目无关的任何用途。未经采购人书面同意，报价人不得将上述数据以任何形式向第三方披露或提供。</w:t>
            </w:r>
            <w:r>
              <w:rPr>
                <w:rFonts w:hint="eastAsia" w:asciiTheme="minorEastAsia" w:hAnsiTheme="minorEastAsia" w:cstheme="minorEastAsia"/>
                <w:szCs w:val="21"/>
              </w:rPr>
              <w:t>报价人因未经授权而实施的任何行为构成违约或侵权责任造成采购人损失的，由其承但相关责任并赔偿采购人经济损失。</w:t>
            </w:r>
          </w:p>
          <w:p w14:paraId="53D34352">
            <w:pPr>
              <w:widowControl/>
              <w:wordWrap w:val="0"/>
              <w:textAlignment w:val="center"/>
              <w:rPr>
                <w:rFonts w:hint="eastAsia" w:asciiTheme="minorEastAsia" w:hAnsiTheme="minorEastAsia" w:cstheme="minorEastAsia"/>
                <w:szCs w:val="21"/>
              </w:rPr>
            </w:pPr>
            <w:r>
              <w:rPr>
                <w:rFonts w:hint="eastAsia" w:asciiTheme="minorEastAsia" w:hAnsiTheme="minorEastAsia" w:cstheme="minorEastAsia"/>
                <w:spacing w:val="-5"/>
                <w:szCs w:val="21"/>
              </w:rPr>
              <w:t>3.采购人有权在科研、教学、系统建设、模型训练与验证等合法合规范围内长期、无偿使用本项目交付的数据成果。</w:t>
            </w:r>
          </w:p>
        </w:tc>
        <w:tc>
          <w:tcPr>
            <w:tcW w:w="375" w:type="dxa"/>
            <w:noWrap/>
          </w:tcPr>
          <w:p w14:paraId="6ACA760E">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w:t>
            </w:r>
          </w:p>
        </w:tc>
        <w:tc>
          <w:tcPr>
            <w:tcW w:w="465" w:type="dxa"/>
            <w:noWrap/>
          </w:tcPr>
          <w:p w14:paraId="741FEC0C">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套</w:t>
            </w:r>
          </w:p>
        </w:tc>
      </w:tr>
      <w:tr w14:paraId="5A61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67" w:type="dxa"/>
            <w:gridSpan w:val="2"/>
          </w:tcPr>
          <w:p w14:paraId="71762C52">
            <w:pPr>
              <w:widowControl/>
              <w:rPr>
                <w:rFonts w:hint="eastAsia" w:asciiTheme="minorEastAsia" w:hAnsiTheme="minorEastAsia" w:cstheme="minorEastAsia"/>
                <w:strike/>
                <w:color w:val="000000"/>
                <w:kern w:val="0"/>
                <w:szCs w:val="21"/>
                <w:lang w:bidi="ar"/>
              </w:rPr>
            </w:pPr>
            <w:r>
              <w:rPr>
                <w:rFonts w:hint="eastAsia" w:asciiTheme="minorEastAsia" w:hAnsiTheme="minorEastAsia" w:cstheme="minorEastAsia"/>
                <w:color w:val="auto"/>
                <w:kern w:val="0"/>
                <w:szCs w:val="21"/>
              </w:rPr>
              <w:t>商务要求</w:t>
            </w:r>
          </w:p>
        </w:tc>
        <w:tc>
          <w:tcPr>
            <w:tcW w:w="8599" w:type="dxa"/>
            <w:gridSpan w:val="3"/>
            <w:noWrap/>
          </w:tcPr>
          <w:p w14:paraId="5D8F2B64">
            <w:pPr>
              <w:rPr>
                <w:rFonts w:hint="eastAsia" w:asciiTheme="minorEastAsia" w:hAnsiTheme="minorEastAsia" w:cstheme="minorEastAsia"/>
                <w:szCs w:val="21"/>
              </w:rPr>
            </w:pPr>
            <w:r>
              <w:rPr>
                <w:rFonts w:hint="eastAsia" w:asciiTheme="minorEastAsia" w:hAnsiTheme="minorEastAsia" w:cstheme="minorEastAsia"/>
                <w:szCs w:val="21"/>
              </w:rPr>
              <w:t>1供货时间：自合同签订之日起</w:t>
            </w:r>
            <w:r>
              <w:rPr>
                <w:rFonts w:hint="eastAsia" w:asciiTheme="minorEastAsia" w:hAnsiTheme="minorEastAsia" w:cstheme="minorEastAsia"/>
                <w:szCs w:val="21"/>
                <w:u w:val="single"/>
              </w:rPr>
              <w:t>30</w:t>
            </w:r>
            <w:r>
              <w:rPr>
                <w:rFonts w:hint="eastAsia" w:asciiTheme="minorEastAsia" w:hAnsiTheme="minorEastAsia" w:cstheme="minorEastAsia"/>
                <w:szCs w:val="21"/>
              </w:rPr>
              <w:t>日内验收合格并交付使用。</w:t>
            </w:r>
          </w:p>
          <w:p w14:paraId="588080DB">
            <w:pPr>
              <w:rPr>
                <w:rFonts w:hint="eastAsia" w:asciiTheme="minorEastAsia" w:hAnsiTheme="minorEastAsia" w:cstheme="minorEastAsia"/>
                <w:szCs w:val="21"/>
              </w:rPr>
            </w:pPr>
            <w:r>
              <w:rPr>
                <w:rFonts w:hint="eastAsia" w:asciiTheme="minorEastAsia" w:hAnsiTheme="minorEastAsia" w:cstheme="minorEastAsia"/>
                <w:szCs w:val="21"/>
              </w:rPr>
              <w:t>质保期：自验收合格并交付使用之日起</w:t>
            </w:r>
            <w:r>
              <w:rPr>
                <w:rFonts w:hint="eastAsia" w:asciiTheme="minorEastAsia" w:hAnsiTheme="minorEastAsia" w:cstheme="minorEastAsia"/>
                <w:szCs w:val="21"/>
                <w:u w:val="single"/>
              </w:rPr>
              <w:t>1</w:t>
            </w:r>
            <w:r>
              <w:rPr>
                <w:rFonts w:hint="eastAsia" w:asciiTheme="minorEastAsia" w:hAnsiTheme="minorEastAsia" w:cstheme="minorEastAsia"/>
                <w:szCs w:val="21"/>
              </w:rPr>
              <w:t>年。</w:t>
            </w:r>
          </w:p>
          <w:p w14:paraId="54DC301E">
            <w:pPr>
              <w:pStyle w:val="7"/>
              <w:numPr>
                <w:ilvl w:val="0"/>
                <w:numId w:val="4"/>
              </w:numPr>
              <w:spacing w:after="0"/>
              <w:rPr>
                <w:rFonts w:hint="eastAsia" w:asciiTheme="minorEastAsia" w:hAnsiTheme="minorEastAsia" w:cstheme="minorEastAsia"/>
                <w:szCs w:val="21"/>
              </w:rPr>
            </w:pPr>
            <w:r>
              <w:rPr>
                <w:rFonts w:hint="eastAsia" w:asciiTheme="minorEastAsia" w:hAnsiTheme="minorEastAsia" w:cstheme="minorEastAsia"/>
                <w:b/>
                <w:bCs/>
                <w:szCs w:val="21"/>
              </w:rPr>
              <w:t>技术支持和服务</w:t>
            </w:r>
            <w:r>
              <w:rPr>
                <w:rFonts w:hint="eastAsia" w:asciiTheme="minorEastAsia" w:hAnsiTheme="minorEastAsia" w:cstheme="minorEastAsia"/>
                <w:szCs w:val="21"/>
              </w:rPr>
              <w:t>：</w:t>
            </w:r>
          </w:p>
          <w:p w14:paraId="1E2ED195">
            <w:pPr>
              <w:widowControl/>
              <w:adjustRightInd w:val="0"/>
              <w:snapToGrid w:val="0"/>
              <w:jc w:val="left"/>
              <w:rPr>
                <w:rFonts w:hint="eastAsia" w:asciiTheme="minorEastAsia" w:hAnsiTheme="minorEastAsia" w:cstheme="minorEastAsia"/>
                <w:szCs w:val="21"/>
              </w:rPr>
            </w:pPr>
            <w:r>
              <w:rPr>
                <w:rFonts w:hint="eastAsia" w:asciiTheme="minorEastAsia" w:hAnsiTheme="minorEastAsia" w:cstheme="minorEastAsia"/>
                <w:szCs w:val="21"/>
              </w:rPr>
              <w:t>整体项目报价为最终报价，须包含货物安装、调试及货物运抵指定交货地点的运输、装卸费用、售后服务、税金、验收检验及其它所有费用的总和。报价超出采购预算金额的文件将被视为无效。</w:t>
            </w:r>
          </w:p>
          <w:p w14:paraId="052AFD13">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5D3B815D">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按国家有关规定报价人承诺实行“三包”（包退、包换、包修）服务，其他售后服务按成交人提交的售后服务承诺书执行。</w:t>
            </w:r>
          </w:p>
          <w:p w14:paraId="4EDEC738">
            <w:pPr>
              <w:pStyle w:val="7"/>
              <w:spacing w:after="0"/>
              <w:rPr>
                <w:rFonts w:hint="eastAsia" w:asciiTheme="minorEastAsia" w:hAnsiTheme="minorEastAsia" w:cstheme="minorEastAsia"/>
                <w:b/>
                <w:bCs/>
                <w:szCs w:val="21"/>
              </w:rPr>
            </w:pPr>
            <w:r>
              <w:rPr>
                <w:rFonts w:hint="eastAsia" w:asciiTheme="minorEastAsia" w:hAnsiTheme="minorEastAsia" w:cstheme="minorEastAsia"/>
                <w:b/>
                <w:bCs/>
                <w:szCs w:val="21"/>
              </w:rPr>
              <w:t>3.知识产权</w:t>
            </w:r>
          </w:p>
          <w:p w14:paraId="538D818A">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76AF6EEF">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报价人因未经授权而实施的商业性复制行为构成违约或侵权责任造成采购人损失的，由其承但相关责任并赔偿采购人经济损失。</w:t>
            </w:r>
          </w:p>
          <w:p w14:paraId="433FC4EE">
            <w:pPr>
              <w:widowControl/>
              <w:adjustRightInd w:val="0"/>
              <w:snapToGrid w:val="0"/>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4.付款要求</w:t>
            </w:r>
          </w:p>
          <w:p w14:paraId="0072ACEA">
            <w:pPr>
              <w:widowControl/>
              <w:adjustRightInd w:val="0"/>
              <w:snapToGrid w:val="0"/>
              <w:rPr>
                <w:rFonts w:hint="eastAsia" w:asciiTheme="minorEastAsia" w:hAnsiTheme="minorEastAsia" w:cstheme="minorEastAsia"/>
                <w:kern w:val="0"/>
                <w:szCs w:val="21"/>
              </w:rPr>
            </w:pPr>
            <w:r>
              <w:rPr>
                <w:rFonts w:hint="eastAsia" w:asciiTheme="minorEastAsia" w:hAnsiTheme="minorEastAsia" w:cstheme="minorEastAsia"/>
                <w:kern w:val="0"/>
                <w:szCs w:val="21"/>
              </w:rPr>
              <w:t>本项目无预付款，合同中所有货物全部安装调试完毕验收合格交付给采购人使用后，被选中的报价人开具全额增值税专用发票给采购人，采购人收到发票后</w:t>
            </w:r>
            <w:r>
              <w:rPr>
                <w:rFonts w:hint="eastAsia" w:asciiTheme="minorEastAsia" w:hAnsiTheme="minorEastAsia" w:cstheme="minorEastAsia"/>
                <w:b/>
                <w:kern w:val="0"/>
                <w:szCs w:val="21"/>
                <w:u w:val="single"/>
              </w:rPr>
              <w:t xml:space="preserve"> 20 </w:t>
            </w:r>
            <w:r>
              <w:rPr>
                <w:rFonts w:hint="eastAsia" w:asciiTheme="minorEastAsia" w:hAnsiTheme="minorEastAsia" w:cstheme="minorEastAsia"/>
                <w:kern w:val="0"/>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4A60474D">
            <w:pPr>
              <w:widowControl/>
              <w:adjustRightInd w:val="0"/>
              <w:snapToGrid w:val="0"/>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5.履约保证金</w:t>
            </w:r>
          </w:p>
          <w:p w14:paraId="6A9C3AF3">
            <w:pPr>
              <w:widowControl/>
              <w:adjustRightInd w:val="0"/>
              <w:snapToGrid w:val="0"/>
              <w:rPr>
                <w:rFonts w:hint="eastAsia" w:asciiTheme="minorEastAsia" w:hAnsiTheme="minorEastAsia" w:cstheme="minorEastAsia"/>
                <w:kern w:val="0"/>
                <w:szCs w:val="21"/>
              </w:rPr>
            </w:pPr>
            <w:r>
              <w:rPr>
                <w:rFonts w:hint="eastAsia" w:asciiTheme="minorEastAsia" w:hAnsiTheme="minorEastAsia" w:cstheme="minorEastAsia"/>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068E69C0">
            <w:pPr>
              <w:widowControl/>
              <w:rPr>
                <w:rFonts w:hint="eastAsia" w:asciiTheme="minorEastAsia" w:hAnsiTheme="minorEastAsia" w:cstheme="minorEastAsia"/>
                <w:bCs/>
                <w:kern w:val="0"/>
                <w:szCs w:val="21"/>
              </w:rPr>
            </w:pPr>
            <w:r>
              <w:rPr>
                <w:rFonts w:hint="eastAsia" w:asciiTheme="minorEastAsia" w:hAnsiTheme="minorEastAsia" w:cstheme="minorEastAsia"/>
                <w:bCs/>
                <w:kern w:val="0"/>
                <w:szCs w:val="21"/>
              </w:rPr>
              <w:t>履约保证金账户：</w:t>
            </w:r>
          </w:p>
          <w:p w14:paraId="207BACB0">
            <w:pPr>
              <w:pStyle w:val="7"/>
              <w:spacing w:after="0"/>
              <w:rPr>
                <w:rFonts w:hint="eastAsia" w:asciiTheme="minorEastAsia" w:hAnsiTheme="minorEastAsia" w:cstheme="minorEastAsia"/>
                <w:bCs/>
                <w:kern w:val="0"/>
                <w:szCs w:val="21"/>
              </w:rPr>
            </w:pPr>
            <w:r>
              <w:rPr>
                <w:rFonts w:hint="eastAsia" w:asciiTheme="minorEastAsia" w:hAnsiTheme="minorEastAsia" w:cstheme="minorEastAsia"/>
                <w:bCs/>
                <w:kern w:val="0"/>
                <w:szCs w:val="21"/>
              </w:rPr>
              <w:t>名  称：柳州职业技术大学</w:t>
            </w:r>
          </w:p>
          <w:p w14:paraId="439CAFC8">
            <w:pPr>
              <w:pStyle w:val="7"/>
              <w:spacing w:after="0"/>
              <w:rPr>
                <w:rFonts w:hint="eastAsia" w:asciiTheme="minorEastAsia" w:hAnsiTheme="minorEastAsia" w:cstheme="minorEastAsia"/>
                <w:bCs/>
                <w:kern w:val="0"/>
                <w:szCs w:val="21"/>
              </w:rPr>
            </w:pPr>
            <w:r>
              <w:rPr>
                <w:rFonts w:hint="eastAsia" w:asciiTheme="minorEastAsia" w:hAnsiTheme="minorEastAsia" w:cstheme="minorEastAsia"/>
                <w:bCs/>
                <w:kern w:val="0"/>
                <w:szCs w:val="21"/>
              </w:rPr>
              <w:t>开户行：交通银行西江支行</w:t>
            </w:r>
          </w:p>
          <w:p w14:paraId="6D106F4F">
            <w:pPr>
              <w:pStyle w:val="7"/>
              <w:spacing w:after="0"/>
              <w:rPr>
                <w:rFonts w:hint="eastAsia" w:asciiTheme="minorEastAsia" w:hAnsiTheme="minorEastAsia" w:cstheme="minorEastAsia"/>
                <w:bCs/>
                <w:kern w:val="0"/>
                <w:szCs w:val="21"/>
              </w:rPr>
            </w:pPr>
            <w:r>
              <w:rPr>
                <w:rFonts w:hint="eastAsia" w:asciiTheme="minorEastAsia" w:hAnsiTheme="minorEastAsia" w:cstheme="minorEastAsia"/>
                <w:bCs/>
                <w:kern w:val="0"/>
                <w:szCs w:val="21"/>
              </w:rPr>
              <w:t>账  号：452060600018120020185</w:t>
            </w:r>
          </w:p>
          <w:p w14:paraId="2A8B19DE">
            <w:pPr>
              <w:pStyle w:val="7"/>
              <w:spacing w:after="0"/>
              <w:rPr>
                <w:rFonts w:hint="eastAsia" w:asciiTheme="minorEastAsia" w:hAnsiTheme="minorEastAsia" w:cstheme="minorEastAsia"/>
                <w:bCs/>
                <w:kern w:val="0"/>
                <w:szCs w:val="21"/>
              </w:rPr>
            </w:pPr>
            <w:r>
              <w:rPr>
                <w:rFonts w:hint="eastAsia" w:asciiTheme="minorEastAsia" w:hAnsiTheme="minorEastAsia" w:cstheme="minorEastAsia"/>
                <w:bCs/>
                <w:kern w:val="0"/>
                <w:szCs w:val="21"/>
              </w:rPr>
              <w:t>转账时注明：人工智能赛道训练硬件设备采购项目，采购编号</w:t>
            </w:r>
            <w:r>
              <w:rPr>
                <w:rFonts w:hint="eastAsia" w:asciiTheme="minorEastAsia" w:hAnsiTheme="minorEastAsia" w:cstheme="minorEastAsia"/>
                <w:b/>
                <w:color w:val="auto"/>
                <w:kern w:val="0"/>
                <w:szCs w:val="21"/>
              </w:rPr>
              <w:t>LZPU2025-</w:t>
            </w:r>
            <w:r>
              <w:rPr>
                <w:rFonts w:hint="eastAsia" w:asciiTheme="minorEastAsia" w:hAnsiTheme="minorEastAsia" w:cstheme="minorEastAsia"/>
                <w:b/>
                <w:color w:val="auto"/>
                <w:kern w:val="0"/>
                <w:szCs w:val="21"/>
                <w:lang w:val="en-US" w:eastAsia="zh-CN"/>
              </w:rPr>
              <w:t>6-1</w:t>
            </w:r>
            <w:r>
              <w:rPr>
                <w:rFonts w:hint="eastAsia" w:asciiTheme="minorEastAsia" w:hAnsiTheme="minorEastAsia" w:cstheme="minorEastAsia"/>
                <w:bCs/>
                <w:color w:val="auto"/>
                <w:kern w:val="0"/>
                <w:szCs w:val="21"/>
              </w:rPr>
              <w:t xml:space="preserve"> </w:t>
            </w:r>
            <w:r>
              <w:rPr>
                <w:rFonts w:hint="eastAsia" w:asciiTheme="minorEastAsia" w:hAnsiTheme="minorEastAsia" w:cstheme="minorEastAsia"/>
                <w:bCs/>
                <w:kern w:val="0"/>
                <w:szCs w:val="21"/>
              </w:rPr>
              <w:t>履约保证金</w:t>
            </w:r>
          </w:p>
          <w:p w14:paraId="356C3057">
            <w:pPr>
              <w:widowControl/>
              <w:adjustRightInd w:val="0"/>
              <w:snapToGrid w:val="0"/>
              <w:rPr>
                <w:rFonts w:hint="eastAsia" w:asciiTheme="minorEastAsia" w:hAnsiTheme="minorEastAsia" w:cstheme="minorEastAsia"/>
                <w:szCs w:val="21"/>
              </w:rPr>
            </w:pPr>
            <w:r>
              <w:rPr>
                <w:rFonts w:hint="eastAsia" w:asciiTheme="minorEastAsia" w:hAnsiTheme="minorEastAsia" w:cstheme="minorEastAsia"/>
                <w:kern w:val="0"/>
                <w:szCs w:val="21"/>
              </w:rPr>
              <w:t>电汇、转账的持银行回执复印件（非电汇、转账的出具其他保证金递交证明文件）、中标（成交）通知书（确认书）及合同到柳州职业技术大学签署合同。</w:t>
            </w:r>
          </w:p>
          <w:p w14:paraId="12875984">
            <w:pPr>
              <w:pStyle w:val="7"/>
              <w:spacing w:after="0"/>
              <w:rPr>
                <w:rFonts w:hint="eastAsia" w:asciiTheme="minorEastAsia" w:hAnsiTheme="minorEastAsia" w:cstheme="minorEastAsia"/>
                <w:b/>
                <w:bCs/>
                <w:szCs w:val="21"/>
              </w:rPr>
            </w:pPr>
            <w:r>
              <w:rPr>
                <w:rFonts w:hint="eastAsia" w:asciiTheme="minorEastAsia" w:hAnsiTheme="minorEastAsia" w:cstheme="minorEastAsia"/>
                <w:b/>
                <w:bCs/>
                <w:szCs w:val="21"/>
              </w:rPr>
              <w:t>6.验收要求</w:t>
            </w:r>
          </w:p>
          <w:p w14:paraId="6D81E39C">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2B05BC87">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（2）中标</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须确保货物为原制造商制造（或原厂组装）的全新产品，，无侵权行为、表面无划损、无任何缺陷隐患，在中国境内可依常规安全合法使用。</w:t>
            </w:r>
          </w:p>
          <w:p w14:paraId="161E4D67">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（3）供货时中标</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应将关键货物的用户手册、保修手册、有关单证资料及配备件等交付给采购人，使用操作及安全须知等重要资料应附有中文说明。</w:t>
            </w:r>
          </w:p>
          <w:p w14:paraId="238C3166">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（4）采购人组成验收小组按国家有关规定、规范进行验收，必要时邀请相关的专业人员或机构参与验收。验收时</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必须有授权代表在场并在验收报告上签字，如正式验收时</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授权代表未到场参加验收则视为</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对验收过程及结果无异议。因货物质量问题发生争议时，由本地质量技术监督部门鉴定或委托具备资质的第三方机构鉴定。鉴定费（含运行产生全部费用）由中标</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承担。</w:t>
            </w:r>
          </w:p>
          <w:p w14:paraId="544FECBF">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（5）中标</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必须依照采购文件的要求和应标文件的承诺，将设备、系统安装并调试至正常运行的最佳状态，并完成采购人的人员培训方可申请采购人正式验收。</w:t>
            </w:r>
          </w:p>
          <w:p w14:paraId="193A3B4C">
            <w:pPr>
              <w:pStyle w:val="7"/>
              <w:spacing w:after="0"/>
              <w:rPr>
                <w:rFonts w:hint="eastAsia" w:asciiTheme="minorEastAsia" w:hAnsiTheme="minorEastAsia" w:cstheme="minorEastAsia"/>
                <w:szCs w:val="21"/>
              </w:rPr>
            </w:pPr>
            <w:r>
              <w:rPr>
                <w:rFonts w:hint="eastAsia" w:asciiTheme="minorEastAsia" w:hAnsiTheme="minorEastAsia" w:cstheme="minorEastAsia"/>
                <w:szCs w:val="21"/>
              </w:rPr>
              <w:t>（6）采购人有权委托第三方进行履约验收，履约验收费用（含运行耗材、验收专家费等全部费用）由中标</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支付。报价人在报价时自行考虑。</w:t>
            </w:r>
          </w:p>
          <w:p w14:paraId="6A019944">
            <w:pPr>
              <w:widowControl/>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（7）如果验收时中标</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所提供设备达不到采购项目的技术需求，在整改期限20日内中标</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仍无法提供满足项目技术要求的设备，采购人可以终止项目，中标</w:t>
            </w:r>
            <w:r>
              <w:rPr>
                <w:rFonts w:hint="eastAsia" w:asciiTheme="minorEastAsia" w:hAnsiTheme="minorEastAsia" w:cstheme="minorEastAsia"/>
                <w:szCs w:val="21"/>
                <w:lang w:eastAsia="zh-CN"/>
              </w:rPr>
              <w:t>报价人</w:t>
            </w:r>
            <w:r>
              <w:rPr>
                <w:rFonts w:hint="eastAsia" w:asciiTheme="minorEastAsia" w:hAnsiTheme="minorEastAsia" w:cstheme="minorEastAsia"/>
                <w:szCs w:val="21"/>
              </w:rPr>
              <w:t>须承担相应违约责任。</w:t>
            </w:r>
          </w:p>
        </w:tc>
      </w:tr>
    </w:tbl>
    <w:p w14:paraId="6FD8F628">
      <w:pPr>
        <w:widowControl/>
        <w:textAlignment w:val="center"/>
        <w:rPr>
          <w:rFonts w:hint="eastAsia" w:asciiTheme="minorEastAsia" w:hAnsiTheme="minorEastAsia" w:cstheme="minorEastAsia"/>
          <w:color w:val="000000"/>
          <w:kern w:val="0"/>
          <w:szCs w:val="21"/>
          <w:lang w:bidi="ar"/>
        </w:rPr>
      </w:pPr>
    </w:p>
    <w:p w14:paraId="71683DEF">
      <w:pPr>
        <w:widowControl/>
        <w:adjustRightInd w:val="0"/>
        <w:snapToGrid w:val="0"/>
        <w:spacing w:line="360" w:lineRule="auto"/>
        <w:jc w:val="left"/>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四、报价人须知：（以下要求报价</w:t>
      </w:r>
      <w:r>
        <w:rPr>
          <w:rFonts w:hint="eastAsia" w:asciiTheme="minorEastAsia" w:hAnsiTheme="minorEastAsia" w:cstheme="minorEastAsia"/>
          <w:color w:val="000000"/>
          <w:kern w:val="0"/>
          <w:sz w:val="24"/>
          <w:szCs w:val="24"/>
          <w:lang w:eastAsia="zh-CN"/>
        </w:rPr>
        <w:t>报价人</w:t>
      </w:r>
      <w:r>
        <w:rPr>
          <w:rFonts w:hint="eastAsia" w:asciiTheme="minorEastAsia" w:hAnsiTheme="minorEastAsia" w:cstheme="minorEastAsia"/>
          <w:color w:val="000000"/>
          <w:kern w:val="0"/>
          <w:sz w:val="24"/>
          <w:szCs w:val="24"/>
        </w:rPr>
        <w:t>必须满足否则视为无效）</w:t>
      </w:r>
    </w:p>
    <w:p w14:paraId="471CFF1F">
      <w:pPr>
        <w:widowControl/>
        <w:adjustRightInd w:val="0"/>
        <w:snapToGrid w:val="0"/>
        <w:spacing w:line="360" w:lineRule="auto"/>
        <w:jc w:val="left"/>
        <w:rPr>
          <w:rFonts w:hint="eastAsia" w:asciiTheme="minorEastAsia" w:hAnsiTheme="minorEastAsia" w:cstheme="minorEastAsia"/>
          <w:b/>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sz w:val="24"/>
          <w:szCs w:val="24"/>
        </w:rPr>
        <w:t xml:space="preserve"> </w:t>
      </w:r>
      <w:r>
        <w:rPr>
          <w:rFonts w:hint="eastAsia" w:asciiTheme="minorEastAsia" w:hAnsiTheme="minorEastAsia" w:cstheme="minorEastAsia"/>
          <w:b/>
          <w:sz w:val="24"/>
          <w:szCs w:val="24"/>
        </w:rPr>
        <w:t>资格证明文件</w:t>
      </w:r>
    </w:p>
    <w:p w14:paraId="3E74277F">
      <w:pPr>
        <w:widowControl/>
        <w:adjustRightInd w:val="0"/>
        <w:snapToGrid w:val="0"/>
        <w:spacing w:line="360" w:lineRule="auto"/>
        <w:jc w:val="left"/>
        <w:rPr>
          <w:rFonts w:hint="eastAsia" w:asciiTheme="minorEastAsia" w:hAnsiTheme="minorEastAsia" w:cstheme="minorEastAsia"/>
          <w:sz w:val="24"/>
          <w:szCs w:val="24"/>
        </w:rPr>
      </w:pPr>
      <w:r>
        <w:rPr>
          <w:rFonts w:hint="eastAsia" w:asciiTheme="minorEastAsia" w:hAnsiTheme="minorEastAsia" w:cstheme="minorEastAsia"/>
          <w:kern w:val="0"/>
          <w:sz w:val="24"/>
          <w:szCs w:val="24"/>
        </w:rPr>
        <w:t>（1）国内注册（指按国家工商管理有关规定要求注册的），具有合法的主体资格证明复印件（如营业执照、事业单位法人证书、个体工商户营业执照）的报价人；</w:t>
      </w:r>
      <w:r>
        <w:rPr>
          <w:rFonts w:hint="eastAsia" w:asciiTheme="minorEastAsia" w:hAnsiTheme="minorEastAsia" w:cstheme="minorEastAsia"/>
          <w:sz w:val="24"/>
          <w:szCs w:val="24"/>
        </w:rPr>
        <w:t>（</w:t>
      </w:r>
      <w:r>
        <w:rPr>
          <w:rFonts w:hint="eastAsia" w:asciiTheme="minorEastAsia" w:hAnsiTheme="minorEastAsia" w:cstheme="minorEastAsia"/>
          <w:b/>
          <w:sz w:val="24"/>
          <w:szCs w:val="24"/>
        </w:rPr>
        <w:t>必须提供，否则响应文件按无效响应处理</w:t>
      </w:r>
      <w:r>
        <w:rPr>
          <w:rFonts w:hint="eastAsia" w:asciiTheme="minorEastAsia" w:hAnsiTheme="minorEastAsia" w:cstheme="minorEastAsia"/>
          <w:sz w:val="24"/>
          <w:szCs w:val="24"/>
        </w:rPr>
        <w:t>）</w:t>
      </w:r>
    </w:p>
    <w:p w14:paraId="091C07CF">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sz w:val="24"/>
          <w:szCs w:val="24"/>
        </w:rPr>
        <w:t>（2）报价声明（格式后附）；（</w:t>
      </w:r>
      <w:r>
        <w:rPr>
          <w:rFonts w:hint="eastAsia" w:asciiTheme="minorEastAsia" w:hAnsiTheme="minorEastAsia" w:cstheme="minorEastAsia"/>
          <w:b/>
          <w:sz w:val="24"/>
          <w:szCs w:val="24"/>
        </w:rPr>
        <w:t>必须提供，否则响应文件按无效响应处理</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w:t>
      </w:r>
    </w:p>
    <w:p w14:paraId="13644D6B">
      <w:pPr>
        <w:spacing w:line="360" w:lineRule="auto"/>
        <w:rPr>
          <w:rFonts w:hint="eastAsia" w:asciiTheme="minorEastAsia" w:hAnsiTheme="minorEastAsia" w:cstheme="minorEastAsia"/>
          <w:kern w:val="0"/>
          <w:szCs w:val="21"/>
        </w:rPr>
      </w:pPr>
      <w:r>
        <w:rPr>
          <w:rFonts w:hint="eastAsia" w:asciiTheme="minorEastAsia" w:hAnsiTheme="minorEastAsia" w:cstheme="minorEastAsia"/>
          <w:kern w:val="0"/>
          <w:szCs w:val="21"/>
        </w:rPr>
        <w:t>注：</w:t>
      </w:r>
    </w:p>
    <w:p w14:paraId="09FAC4B6">
      <w:pPr>
        <w:spacing w:line="360" w:lineRule="auto"/>
        <w:rPr>
          <w:rFonts w:hint="eastAsia" w:asciiTheme="minorEastAsia" w:hAnsiTheme="minorEastAsia" w:cstheme="minorEastAsia"/>
          <w:b/>
          <w:szCs w:val="21"/>
        </w:rPr>
      </w:pPr>
      <w:r>
        <w:rPr>
          <w:rFonts w:hint="eastAsia" w:asciiTheme="minorEastAsia" w:hAnsiTheme="minorEastAsia" w:cstheme="minorEastAsia"/>
          <w:b/>
          <w:szCs w:val="21"/>
        </w:rPr>
        <w:t>1.以上标明“必须提供”的材料属于复印件的，必须加盖报价人公章，否则报价文件按无效响应处理。</w:t>
      </w:r>
    </w:p>
    <w:p w14:paraId="74592E7D">
      <w:pPr>
        <w:spacing w:line="360" w:lineRule="auto"/>
        <w:rPr>
          <w:rFonts w:hint="eastAsia" w:asciiTheme="minorEastAsia" w:hAnsiTheme="minorEastAsia" w:cstheme="minorEastAsia"/>
          <w:kern w:val="0"/>
          <w:szCs w:val="21"/>
        </w:rPr>
      </w:pPr>
      <w:r>
        <w:rPr>
          <w:rFonts w:hint="eastAsia" w:asciiTheme="minorEastAsia" w:hAnsiTheme="minorEastAsia" w:cstheme="minorEastAsia"/>
          <w:b/>
          <w:szCs w:val="21"/>
        </w:rPr>
        <w:t>2.报价人的报价声明必须由法定代表人或委托代理人在规定签章处签字并加盖报价人公章，否则响应文件按无效响应处理。</w:t>
      </w:r>
    </w:p>
    <w:p w14:paraId="1C597057">
      <w:pPr>
        <w:widowControl/>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b/>
          <w:kern w:val="0"/>
          <w:sz w:val="24"/>
          <w:szCs w:val="24"/>
        </w:rPr>
        <w:t xml:space="preserve">符合以下规定的条件： </w:t>
      </w:r>
    </w:p>
    <w:p w14:paraId="2E37880F">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具有独立承担民事责任的能力； </w:t>
      </w:r>
    </w:p>
    <w:p w14:paraId="236B61BF">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具有良好的商业信誉和健全的财务会计制度； </w:t>
      </w:r>
    </w:p>
    <w:p w14:paraId="69919C00">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具有履行合同所必需的设备和专业技术能力； </w:t>
      </w:r>
    </w:p>
    <w:p w14:paraId="121A8E02">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有依法缴纳税收和社会保障资金的良好记录； </w:t>
      </w:r>
    </w:p>
    <w:p w14:paraId="1FC6ACAF">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 xml:space="preserve">参加政府采购活动前三年内，在经营活动中没有重大违法记录； </w:t>
      </w:r>
    </w:p>
    <w:p w14:paraId="23DB73C4">
      <w:pPr>
        <w:widowControl/>
        <w:numPr>
          <w:ilvl w:val="0"/>
          <w:numId w:val="5"/>
        </w:numPr>
        <w:adjustRightInd w:val="0"/>
        <w:snapToGrid w:val="0"/>
        <w:spacing w:line="360" w:lineRule="auto"/>
        <w:jc w:val="left"/>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未被列入失信被执行人、重大税收违法失信主体、政府采购严重违法失信行为记录名单；</w:t>
      </w:r>
    </w:p>
    <w:p w14:paraId="34F4F6E7">
      <w:pPr>
        <w:pStyle w:val="7"/>
        <w:numPr>
          <w:ilvl w:val="0"/>
          <w:numId w:val="5"/>
        </w:numPr>
        <w:spacing w:after="0" w:line="360" w:lineRule="auto"/>
        <w:rPr>
          <w:rFonts w:hint="eastAsia" w:asciiTheme="minorEastAsia" w:hAnsiTheme="minorEastAsia" w:cstheme="minorEastAsia"/>
          <w:b/>
          <w:kern w:val="0"/>
          <w:sz w:val="24"/>
          <w:szCs w:val="24"/>
        </w:rPr>
      </w:pPr>
      <w:r>
        <w:rPr>
          <w:rFonts w:hint="eastAsia" w:asciiTheme="minorEastAsia" w:hAnsiTheme="minorEastAsia" w:cstheme="minorEastAsia"/>
          <w:b/>
          <w:kern w:val="0"/>
          <w:sz w:val="24"/>
          <w:szCs w:val="24"/>
        </w:rPr>
        <w:t>法律、行政法规规定的其他条件。</w:t>
      </w:r>
    </w:p>
    <w:p w14:paraId="34B0C772">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2.单位负责人为同一人或者存在控股、管理关系的不同</w:t>
      </w:r>
      <w:r>
        <w:rPr>
          <w:rFonts w:hint="eastAsia" w:asciiTheme="minorEastAsia" w:hAnsiTheme="minorEastAsia" w:cstheme="minorEastAsia"/>
          <w:kern w:val="0"/>
          <w:sz w:val="24"/>
          <w:szCs w:val="24"/>
          <w:lang w:eastAsia="zh-CN"/>
        </w:rPr>
        <w:t>报价人</w:t>
      </w:r>
      <w:r>
        <w:rPr>
          <w:rFonts w:hint="eastAsia" w:asciiTheme="minorEastAsia" w:hAnsiTheme="minorEastAsia" w:cstheme="minorEastAsia"/>
          <w:kern w:val="0"/>
          <w:sz w:val="24"/>
          <w:szCs w:val="24"/>
        </w:rPr>
        <w:t>，不得参加同一合同项下的采购活动。</w:t>
      </w:r>
    </w:p>
    <w:p w14:paraId="7CE03DD9">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3.报价为最终报价，须包含货物及货物运抵指定交货地点的运输、装卸费用、售后服务、税金、验收检验及其它所有费用的总和。报价超出采购预算金额的文件将被视为无效。</w:t>
      </w:r>
    </w:p>
    <w:p w14:paraId="41B19B14">
      <w:pPr>
        <w:spacing w:line="360" w:lineRule="auto"/>
        <w:rPr>
          <w:rFonts w:hint="eastAsia" w:asciiTheme="minorEastAsia" w:hAnsiTheme="minorEastAsia" w:cstheme="minorEastAsia"/>
          <w:sz w:val="24"/>
          <w:szCs w:val="24"/>
        </w:rPr>
      </w:pPr>
      <w:r>
        <w:rPr>
          <w:rFonts w:hint="eastAsia" w:asciiTheme="minorEastAsia" w:hAnsiTheme="minorEastAsia" w:cstheme="minorEastAsia"/>
          <w:kern w:val="0"/>
          <w:sz w:val="24"/>
          <w:szCs w:val="24"/>
        </w:rPr>
        <w:t>4.报价文件</w:t>
      </w:r>
      <w:r>
        <w:rPr>
          <w:rFonts w:hint="eastAsia" w:asciiTheme="minorEastAsia" w:hAnsiTheme="minorEastAsia" w:cstheme="minorEastAsia"/>
          <w:sz w:val="24"/>
          <w:szCs w:val="24"/>
        </w:rPr>
        <w:t>由资格证明文件、报价商务技术文件两部分组成，详见</w:t>
      </w:r>
      <w:r>
        <w:rPr>
          <w:rFonts w:hint="eastAsia" w:asciiTheme="minorEastAsia" w:hAnsiTheme="minorEastAsia" w:cstheme="minorEastAsia"/>
          <w:b/>
          <w:sz w:val="24"/>
          <w:szCs w:val="24"/>
        </w:rPr>
        <w:t>报价文件格式</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559721CF">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5.报价文件递交</w:t>
      </w:r>
    </w:p>
    <w:p w14:paraId="21F8F059">
      <w:pPr>
        <w:widowControl/>
        <w:adjustRightInd w:val="0"/>
        <w:snapToGrid w:val="0"/>
        <w:spacing w:line="360" w:lineRule="auto"/>
        <w:jc w:val="left"/>
        <w:rPr>
          <w:rFonts w:hint="eastAsia" w:asciiTheme="minorEastAsia" w:hAnsiTheme="minorEastAsia" w:cstheme="minorEastAsia"/>
          <w:b/>
          <w:bCs/>
          <w:sz w:val="24"/>
          <w:szCs w:val="24"/>
        </w:rPr>
      </w:pPr>
      <w:r>
        <w:rPr>
          <w:rFonts w:hint="eastAsia" w:asciiTheme="minorEastAsia" w:hAnsiTheme="minorEastAsia" w:cstheme="minorEastAsia"/>
          <w:sz w:val="24"/>
          <w:szCs w:val="24"/>
        </w:rPr>
        <w:t>（1）报价文件份数：</w:t>
      </w:r>
      <w:r>
        <w:rPr>
          <w:rFonts w:hint="eastAsia" w:asciiTheme="minorEastAsia" w:hAnsiTheme="minorEastAsia" w:cstheme="minorEastAsia"/>
          <w:kern w:val="0"/>
          <w:sz w:val="24"/>
          <w:szCs w:val="24"/>
        </w:rPr>
        <w:t>报价文件一式三份。</w:t>
      </w:r>
      <w:r>
        <w:rPr>
          <w:rFonts w:hint="eastAsia" w:asciiTheme="minorEastAsia" w:hAnsiTheme="minorEastAsia" w:cstheme="minorEastAsia"/>
          <w:b/>
          <w:bCs/>
          <w:sz w:val="24"/>
          <w:szCs w:val="24"/>
        </w:rPr>
        <w:t>正本一份、副本二份</w:t>
      </w:r>
    </w:p>
    <w:p w14:paraId="66293A41">
      <w:pPr>
        <w:widowControl/>
        <w:adjustRightInd w:val="0"/>
        <w:snapToGrid w:val="0"/>
        <w:spacing w:line="360" w:lineRule="auto"/>
        <w:jc w:val="left"/>
        <w:rPr>
          <w:rFonts w:hint="eastAsia" w:asciiTheme="minorEastAsia" w:hAnsiTheme="minorEastAsia" w:cstheme="minorEastAsia"/>
          <w:spacing w:val="-6"/>
          <w:sz w:val="24"/>
          <w:szCs w:val="24"/>
        </w:rPr>
      </w:pPr>
      <w:r>
        <w:rPr>
          <w:rFonts w:hint="eastAsia" w:asciiTheme="minorEastAsia" w:hAnsiTheme="minorEastAsia" w:cstheme="minorEastAsia"/>
          <w:sz w:val="24"/>
          <w:szCs w:val="24"/>
        </w:rPr>
        <w:t>（2）报价人应按本文件规定的格式和顺序编制、装订报价文件并标注页码，报价文件内容</w:t>
      </w:r>
      <w:r>
        <w:rPr>
          <w:rFonts w:hint="eastAsia" w:asciiTheme="minorEastAsia" w:hAnsiTheme="minorEastAsia" w:cstheme="minorEastAsia"/>
          <w:spacing w:val="-6"/>
          <w:sz w:val="24"/>
          <w:szCs w:val="24"/>
        </w:rPr>
        <w:t>不完整、编排混乱导致被误读、漏读或者查找不到相关内容的，</w:t>
      </w:r>
      <w:r>
        <w:rPr>
          <w:rFonts w:hint="eastAsia" w:asciiTheme="minorEastAsia" w:hAnsiTheme="minorEastAsia" w:cstheme="minorEastAsia"/>
          <w:sz w:val="24"/>
          <w:szCs w:val="24"/>
        </w:rPr>
        <w:t>由此引发的</w:t>
      </w:r>
      <w:r>
        <w:rPr>
          <w:rFonts w:hint="eastAsia" w:asciiTheme="minorEastAsia" w:hAnsiTheme="minorEastAsia" w:cstheme="minorEastAsia"/>
          <w:spacing w:val="-6"/>
          <w:sz w:val="24"/>
          <w:szCs w:val="24"/>
        </w:rPr>
        <w:t>后果由</w:t>
      </w:r>
      <w:r>
        <w:rPr>
          <w:rFonts w:hint="eastAsia" w:asciiTheme="minorEastAsia" w:hAnsiTheme="minorEastAsia" w:cstheme="minorEastAsia"/>
          <w:sz w:val="24"/>
          <w:szCs w:val="24"/>
        </w:rPr>
        <w:t>报价人自行</w:t>
      </w:r>
      <w:r>
        <w:rPr>
          <w:rFonts w:hint="eastAsia" w:asciiTheme="minorEastAsia" w:hAnsiTheme="minorEastAsia" w:cstheme="minorEastAsia"/>
          <w:spacing w:val="-6"/>
          <w:sz w:val="24"/>
          <w:szCs w:val="24"/>
        </w:rPr>
        <w:t>承担。</w:t>
      </w:r>
    </w:p>
    <w:p w14:paraId="56ACCB18">
      <w:pPr>
        <w:spacing w:line="360" w:lineRule="auto"/>
        <w:rPr>
          <w:rFonts w:hint="eastAsia" w:asciiTheme="minorEastAsia" w:hAnsiTheme="minorEastAsia" w:cstheme="minorEastAsia"/>
          <w:sz w:val="24"/>
          <w:szCs w:val="24"/>
        </w:rPr>
      </w:pPr>
      <w:r>
        <w:rPr>
          <w:rFonts w:hint="eastAsia" w:asciiTheme="minorEastAsia" w:hAnsiTheme="minorEastAsia" w:cstheme="minorEastAsia"/>
          <w:spacing w:val="-6"/>
          <w:sz w:val="24"/>
          <w:szCs w:val="24"/>
        </w:rPr>
        <w:t>（3）</w:t>
      </w:r>
      <w:r>
        <w:rPr>
          <w:rFonts w:hint="eastAsia" w:asciiTheme="minorEastAsia" w:hAnsiTheme="minorEastAsia" w:cstheme="min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3DF83EBF">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w:t>
      </w:r>
      <w:r>
        <w:rPr>
          <w:rFonts w:hint="eastAsia" w:asciiTheme="minorEastAsia" w:hAnsiTheme="minorEastAsia" w:cstheme="minorEastAsia"/>
          <w:sz w:val="24"/>
          <w:szCs w:val="24"/>
          <w:lang w:val="en-US" w:eastAsia="zh-CN"/>
        </w:rPr>
        <w:t>报价人</w:t>
      </w:r>
      <w:r>
        <w:rPr>
          <w:rFonts w:hint="eastAsia" w:asciiTheme="minorEastAsia" w:hAnsiTheme="minorEastAsia" w:cstheme="minorEastAsia"/>
          <w:sz w:val="24"/>
          <w:szCs w:val="24"/>
        </w:rPr>
        <w:t>名称、报价文件提交截止时间前不得启封”字样。未按规定密封的响应文件将被拒收。</w:t>
      </w:r>
    </w:p>
    <w:p w14:paraId="778BF5DB">
      <w:pPr>
        <w:pStyle w:val="38"/>
        <w:spacing w:line="360" w:lineRule="auto"/>
        <w:rPr>
          <w:rFonts w:hint="eastAsia" w:asciiTheme="minorEastAsia" w:hAnsiTheme="minorEastAsia" w:cstheme="minorEastAsia"/>
          <w:b w:val="0"/>
          <w:bCs/>
          <w:sz w:val="24"/>
          <w:szCs w:val="24"/>
        </w:rPr>
      </w:pPr>
      <w:r>
        <w:rPr>
          <w:rFonts w:hint="eastAsia" w:asciiTheme="minorEastAsia" w:hAnsiTheme="minorEastAsia" w:cstheme="minorEastAsia"/>
          <w:b w:val="0"/>
          <w:bCs/>
          <w:spacing w:val="-6"/>
          <w:sz w:val="24"/>
          <w:szCs w:val="24"/>
        </w:rPr>
        <w:t>6.报价</w:t>
      </w:r>
      <w:r>
        <w:rPr>
          <w:rFonts w:hint="eastAsia" w:asciiTheme="minorEastAsia" w:hAnsiTheme="minorEastAsia" w:cstheme="minorEastAsia"/>
          <w:b w:val="0"/>
          <w:bCs/>
          <w:sz w:val="24"/>
          <w:szCs w:val="24"/>
        </w:rPr>
        <w:t>文件提交</w:t>
      </w:r>
    </w:p>
    <w:p w14:paraId="4F63D5E8">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（1）报价文件提交起止时间：</w:t>
      </w:r>
      <w:r>
        <w:rPr>
          <w:rFonts w:hint="eastAsia" w:asciiTheme="minorEastAsia" w:hAnsiTheme="minorEastAsia" w:cstheme="minorEastAsia"/>
          <w:b/>
          <w:bCs/>
          <w:color w:val="auto"/>
          <w:sz w:val="24"/>
          <w:szCs w:val="24"/>
          <w:highlight w:val="none"/>
          <w:u w:val="single"/>
        </w:rPr>
        <w:t>2026年</w:t>
      </w:r>
      <w:r>
        <w:rPr>
          <w:rFonts w:hint="eastAsia" w:asciiTheme="minorEastAsia" w:hAnsiTheme="minorEastAsia" w:cstheme="minorEastAsia"/>
          <w:b/>
          <w:bCs/>
          <w:color w:val="auto"/>
          <w:sz w:val="24"/>
          <w:szCs w:val="24"/>
          <w:highlight w:val="none"/>
          <w:u w:val="single"/>
          <w:lang w:val="en-US" w:eastAsia="zh-CN"/>
        </w:rPr>
        <w:t>3</w:t>
      </w:r>
      <w:r>
        <w:rPr>
          <w:rFonts w:hint="eastAsia" w:asciiTheme="minorEastAsia" w:hAnsiTheme="minorEastAsia" w:cstheme="minorEastAsia"/>
          <w:b/>
          <w:bCs/>
          <w:color w:val="auto"/>
          <w:sz w:val="24"/>
          <w:szCs w:val="24"/>
          <w:highlight w:val="none"/>
          <w:u w:val="single"/>
        </w:rPr>
        <w:t>月</w:t>
      </w:r>
      <w:r>
        <w:rPr>
          <w:rFonts w:hint="eastAsia" w:asciiTheme="minorEastAsia" w:hAnsiTheme="minorEastAsia" w:cstheme="minorEastAsia"/>
          <w:b/>
          <w:bCs/>
          <w:color w:val="auto"/>
          <w:sz w:val="24"/>
          <w:szCs w:val="24"/>
          <w:highlight w:val="none"/>
          <w:u w:val="single"/>
          <w:lang w:val="en-US" w:eastAsia="zh-CN"/>
        </w:rPr>
        <w:t>13</w:t>
      </w:r>
      <w:r>
        <w:rPr>
          <w:rFonts w:hint="eastAsia" w:asciiTheme="minorEastAsia" w:hAnsiTheme="minorEastAsia" w:cstheme="minorEastAsia"/>
          <w:b/>
          <w:bCs/>
          <w:color w:val="auto"/>
          <w:sz w:val="24"/>
          <w:szCs w:val="24"/>
          <w:highlight w:val="none"/>
          <w:u w:val="single"/>
        </w:rPr>
        <w:t>日9时00分至9时30分</w:t>
      </w:r>
      <w:r>
        <w:rPr>
          <w:rFonts w:hint="eastAsia" w:asciiTheme="minorEastAsia" w:hAnsiTheme="minorEastAsia" w:cstheme="minorEastAsia"/>
          <w:b/>
          <w:bCs/>
          <w:color w:val="auto"/>
          <w:sz w:val="24"/>
          <w:szCs w:val="24"/>
          <w:highlight w:val="none"/>
        </w:rPr>
        <w:t>（北京时间）</w:t>
      </w:r>
    </w:p>
    <w:p w14:paraId="44120F28">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（2）文件提交地点：</w:t>
      </w:r>
      <w:r>
        <w:rPr>
          <w:rFonts w:hint="eastAsia" w:asciiTheme="minorEastAsia" w:hAnsiTheme="minorEastAsia" w:cstheme="minorEastAsia"/>
          <w:kern w:val="0"/>
          <w:sz w:val="24"/>
          <w:szCs w:val="24"/>
        </w:rPr>
        <w:t>柳州职业技术大学（柳州市社湾路28号）A区办公楼201室</w:t>
      </w:r>
    </w:p>
    <w:p w14:paraId="03DC3E43">
      <w:pPr>
        <w:spacing w:line="360" w:lineRule="auto"/>
        <w:rPr>
          <w:rFonts w:hint="eastAsia" w:asciiTheme="minorEastAsia" w:hAnsiTheme="minorEastAsia" w:cstheme="minorEastAsia"/>
          <w:kern w:val="0"/>
          <w:szCs w:val="21"/>
        </w:rPr>
      </w:pPr>
      <w:r>
        <w:rPr>
          <w:rFonts w:hint="eastAsia" w:asciiTheme="minorEastAsia" w:hAnsiTheme="minorEastAsia" w:cstheme="minorEastAsia"/>
          <w:b/>
          <w:szCs w:val="21"/>
          <w:u w:val="single"/>
        </w:rPr>
        <w:t>注：报价人应当在报价文件提交截止时间前，将报价文件密封送达提交地点。在报价文件提交截止时间后送达的报价文件为无效文件，采购将拒收。</w:t>
      </w:r>
    </w:p>
    <w:p w14:paraId="334D43D1">
      <w:pPr>
        <w:widowControl/>
        <w:numPr>
          <w:ilvl w:val="0"/>
          <w:numId w:val="6"/>
        </w:numPr>
        <w:adjustRightInd w:val="0"/>
        <w:snapToGrid w:val="0"/>
        <w:spacing w:line="360" w:lineRule="auto"/>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凡对本次采购提出询问，请按以下方式联系</w:t>
      </w:r>
    </w:p>
    <w:p w14:paraId="362F7A99">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bCs/>
          <w:kern w:val="0"/>
          <w:sz w:val="24"/>
          <w:szCs w:val="24"/>
          <w:lang w:bidi="en-US"/>
        </w:rPr>
        <w:t>（1）技术及需求咨询联系人：黄老师     联系电话：18277238332</w:t>
      </w:r>
      <w:r>
        <w:rPr>
          <w:rFonts w:hint="eastAsia" w:asciiTheme="minorEastAsia" w:hAnsiTheme="minorEastAsia" w:cstheme="minorEastAsia"/>
          <w:bCs/>
          <w:kern w:val="0"/>
          <w:sz w:val="24"/>
          <w:szCs w:val="24"/>
        </w:rPr>
        <w:t>。</w:t>
      </w:r>
    </w:p>
    <w:p w14:paraId="567F18F8">
      <w:pPr>
        <w:widowControl/>
        <w:adjustRightInd w:val="0"/>
        <w:snapToGrid w:val="0"/>
        <w:spacing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（2）报价文件接收联系人：资产管理处办公室工作人员      联系电话：0772-3156307   </w:t>
      </w:r>
    </w:p>
    <w:p w14:paraId="64EDD6AE">
      <w:pPr>
        <w:widowControl/>
        <w:spacing w:line="360" w:lineRule="auto"/>
        <w:jc w:val="left"/>
        <w:rPr>
          <w:rFonts w:hint="eastAsia" w:asciiTheme="minorEastAsia" w:hAnsiTheme="minorEastAsia" w:cstheme="minorEastAsia"/>
          <w:sz w:val="24"/>
          <w:szCs w:val="24"/>
        </w:rPr>
      </w:pPr>
    </w:p>
    <w:p w14:paraId="1351C354">
      <w:pPr>
        <w:widowControl/>
        <w:spacing w:line="360" w:lineRule="auto"/>
        <w:ind w:firstLine="8794" w:firstLineChars="3650"/>
        <w:jc w:val="left"/>
        <w:rPr>
          <w:rFonts w:hint="eastAsia" w:asciiTheme="minorEastAsia" w:hAnsiTheme="minorEastAsia" w:cstheme="minorEastAsia"/>
          <w:b/>
          <w:sz w:val="24"/>
          <w:szCs w:val="24"/>
        </w:rPr>
      </w:pPr>
      <w:r>
        <w:rPr>
          <w:rFonts w:hint="eastAsia" w:asciiTheme="minorEastAsia" w:hAnsiTheme="minorEastAsia" w:cstheme="minorEastAsia"/>
          <w:b/>
          <w:sz w:val="24"/>
          <w:szCs w:val="24"/>
        </w:rPr>
        <w:t>柳州职业技术大学</w:t>
      </w:r>
    </w:p>
    <w:p w14:paraId="42BF397E">
      <w:pPr>
        <w:widowControl/>
        <w:spacing w:line="360" w:lineRule="auto"/>
        <w:jc w:val="left"/>
        <w:rPr>
          <w:rFonts w:hint="eastAsia" w:asciiTheme="minorEastAsia" w:hAnsiTheme="minorEastAsia" w:cstheme="minorEastAsia"/>
          <w:b/>
          <w:sz w:val="24"/>
          <w:szCs w:val="24"/>
        </w:rPr>
      </w:pPr>
      <w:r>
        <w:rPr>
          <w:rFonts w:hint="eastAsia" w:asciiTheme="minorEastAsia" w:hAnsiTheme="minorEastAsia" w:cstheme="minorEastAsia"/>
          <w:b/>
          <w:sz w:val="24"/>
          <w:szCs w:val="24"/>
        </w:rPr>
        <w:t xml:space="preserve">                                                                         2025年</w:t>
      </w:r>
      <w:r>
        <w:rPr>
          <w:rFonts w:hint="eastAsia" w:asciiTheme="minorEastAsia" w:hAnsiTheme="minorEastAsia" w:cstheme="minorEastAsia"/>
          <w:b/>
          <w:sz w:val="24"/>
          <w:szCs w:val="24"/>
          <w:lang w:val="en-US" w:eastAsia="zh-CN"/>
        </w:rPr>
        <w:t>3</w:t>
      </w:r>
      <w:r>
        <w:rPr>
          <w:rFonts w:hint="eastAsia" w:asciiTheme="minorEastAsia" w:hAnsiTheme="minorEastAsia" w:cstheme="minorEastAsia"/>
          <w:b/>
          <w:sz w:val="24"/>
          <w:szCs w:val="24"/>
        </w:rPr>
        <w:t>月</w:t>
      </w:r>
      <w:r>
        <w:rPr>
          <w:rFonts w:hint="eastAsia" w:asciiTheme="minorEastAsia" w:hAnsiTheme="minorEastAsia" w:cstheme="minorEastAsia"/>
          <w:b/>
          <w:sz w:val="24"/>
          <w:szCs w:val="24"/>
          <w:lang w:val="en-US" w:eastAsia="zh-CN"/>
        </w:rPr>
        <w:t>5</w:t>
      </w:r>
      <w:r>
        <w:rPr>
          <w:rFonts w:hint="eastAsia" w:asciiTheme="minorEastAsia" w:hAnsiTheme="minorEastAsia" w:cstheme="minorEastAsia"/>
          <w:b/>
          <w:sz w:val="24"/>
          <w:szCs w:val="24"/>
        </w:rPr>
        <w:t>日</w:t>
      </w:r>
    </w:p>
    <w:p w14:paraId="3D0D77A8">
      <w:pPr>
        <w:pStyle w:val="8"/>
        <w:snapToGrid w:val="0"/>
        <w:spacing w:line="360" w:lineRule="auto"/>
        <w:rPr>
          <w:rFonts w:hint="eastAsia" w:asciiTheme="minorEastAsia" w:hAnsiTheme="minorEastAsia" w:cstheme="minorEastAsia"/>
          <w:bCs/>
          <w:sz w:val="24"/>
          <w:szCs w:val="24"/>
        </w:rPr>
      </w:pPr>
    </w:p>
    <w:p w14:paraId="48B43C8D">
      <w:pPr>
        <w:pStyle w:val="7"/>
        <w:spacing w:after="0" w:line="360" w:lineRule="auto"/>
        <w:rPr>
          <w:rFonts w:hint="eastAsia" w:asciiTheme="minorEastAsia" w:hAnsiTheme="minorEastAsia" w:cstheme="minorEastAsia"/>
          <w:sz w:val="24"/>
          <w:szCs w:val="24"/>
        </w:rPr>
      </w:pPr>
    </w:p>
    <w:p w14:paraId="4583C2DE">
      <w:pPr>
        <w:pStyle w:val="7"/>
        <w:spacing w:after="0" w:line="360" w:lineRule="auto"/>
        <w:rPr>
          <w:rFonts w:hint="eastAsia" w:asciiTheme="minorEastAsia" w:hAnsiTheme="minorEastAsia" w:cstheme="minorEastAsia"/>
          <w:sz w:val="24"/>
          <w:szCs w:val="24"/>
        </w:rPr>
      </w:pPr>
    </w:p>
    <w:p w14:paraId="6AD789B9">
      <w:pPr>
        <w:pStyle w:val="7"/>
        <w:spacing w:after="0" w:line="360" w:lineRule="auto"/>
        <w:rPr>
          <w:rFonts w:hint="eastAsia" w:asciiTheme="minorEastAsia" w:hAnsiTheme="minorEastAsia" w:cstheme="minorEastAsia"/>
          <w:sz w:val="24"/>
          <w:szCs w:val="24"/>
        </w:rPr>
      </w:pPr>
    </w:p>
    <w:p w14:paraId="69CB7E8F">
      <w:pPr>
        <w:pStyle w:val="7"/>
        <w:spacing w:after="0" w:line="360" w:lineRule="auto"/>
        <w:rPr>
          <w:rFonts w:hint="eastAsia" w:asciiTheme="minorEastAsia" w:hAnsiTheme="minorEastAsia" w:cstheme="minorEastAsia"/>
          <w:sz w:val="24"/>
          <w:szCs w:val="24"/>
        </w:rPr>
      </w:pPr>
    </w:p>
    <w:p w14:paraId="3EC313A2">
      <w:pPr>
        <w:pStyle w:val="7"/>
        <w:spacing w:after="0" w:line="360" w:lineRule="auto"/>
        <w:rPr>
          <w:rFonts w:hint="eastAsia" w:asciiTheme="minorEastAsia" w:hAnsiTheme="minorEastAsia" w:cstheme="minorEastAsia"/>
          <w:sz w:val="24"/>
          <w:szCs w:val="24"/>
        </w:rPr>
      </w:pPr>
    </w:p>
    <w:p w14:paraId="5CD505F7">
      <w:pPr>
        <w:pStyle w:val="7"/>
        <w:spacing w:after="0" w:line="360" w:lineRule="auto"/>
        <w:rPr>
          <w:rFonts w:hint="eastAsia" w:asciiTheme="minorEastAsia" w:hAnsiTheme="minorEastAsia" w:cstheme="minorEastAsia"/>
          <w:sz w:val="24"/>
          <w:szCs w:val="24"/>
        </w:rPr>
      </w:pPr>
    </w:p>
    <w:p w14:paraId="419C4551">
      <w:pPr>
        <w:pStyle w:val="7"/>
        <w:spacing w:after="0" w:line="360" w:lineRule="auto"/>
        <w:rPr>
          <w:rFonts w:hint="eastAsia" w:asciiTheme="minorEastAsia" w:hAnsiTheme="minorEastAsia" w:cstheme="minorEastAsia"/>
          <w:sz w:val="24"/>
          <w:szCs w:val="24"/>
        </w:rPr>
      </w:pPr>
    </w:p>
    <w:p w14:paraId="08E78F6C">
      <w:pPr>
        <w:pStyle w:val="7"/>
        <w:spacing w:after="0" w:line="360" w:lineRule="auto"/>
        <w:rPr>
          <w:rFonts w:hint="eastAsia" w:asciiTheme="minorEastAsia" w:hAnsiTheme="minorEastAsia" w:cstheme="minorEastAsia"/>
          <w:sz w:val="24"/>
          <w:szCs w:val="24"/>
        </w:rPr>
      </w:pPr>
    </w:p>
    <w:p w14:paraId="7352C5F2">
      <w:pPr>
        <w:pStyle w:val="7"/>
        <w:spacing w:after="0" w:line="360" w:lineRule="auto"/>
        <w:rPr>
          <w:rFonts w:hint="eastAsia" w:asciiTheme="minorEastAsia" w:hAnsiTheme="minorEastAsia" w:cstheme="minorEastAsia"/>
          <w:sz w:val="24"/>
          <w:szCs w:val="24"/>
        </w:rPr>
      </w:pPr>
    </w:p>
    <w:p w14:paraId="7F34F161">
      <w:pPr>
        <w:pStyle w:val="7"/>
        <w:jc w:val="center"/>
        <w:rPr>
          <w:b/>
          <w:sz w:val="48"/>
          <w:szCs w:val="40"/>
        </w:rPr>
      </w:pPr>
      <w:r>
        <w:rPr>
          <w:rFonts w:hint="eastAsia"/>
          <w:b/>
          <w:sz w:val="48"/>
          <w:szCs w:val="40"/>
        </w:rPr>
        <w:t>报价文件格式</w:t>
      </w:r>
    </w:p>
    <w:p w14:paraId="2D1D1612">
      <w:pPr>
        <w:pStyle w:val="7"/>
        <w:jc w:val="center"/>
        <w:rPr>
          <w:b/>
          <w:sz w:val="44"/>
          <w:szCs w:val="36"/>
        </w:rPr>
      </w:pPr>
    </w:p>
    <w:p w14:paraId="4FE47672">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0AA0DF50">
      <w:pPr>
        <w:spacing w:line="440" w:lineRule="exact"/>
        <w:ind w:firstLine="720" w:firstLineChars="200"/>
        <w:jc w:val="left"/>
        <w:rPr>
          <w:rFonts w:ascii="宋体" w:hAnsi="Times New Roman" w:eastAsia="仿宋" w:cs="Times New Roman"/>
          <w:sz w:val="36"/>
          <w:szCs w:val="36"/>
        </w:rPr>
      </w:pPr>
    </w:p>
    <w:p w14:paraId="58A3C91E">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E676190">
      <w:pPr>
        <w:snapToGrid w:val="0"/>
        <w:spacing w:before="156" w:beforeLines="50" w:after="50" w:line="360" w:lineRule="auto"/>
        <w:jc w:val="center"/>
        <w:rPr>
          <w:rFonts w:hint="eastAsia" w:ascii="宋体" w:hAnsi="宋体" w:eastAsia="宋体" w:cs="宋体"/>
          <w:b/>
          <w:sz w:val="44"/>
          <w:szCs w:val="44"/>
        </w:rPr>
      </w:pPr>
    </w:p>
    <w:p w14:paraId="7F1686BC">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1E3BC7B2">
      <w:pPr>
        <w:pStyle w:val="7"/>
        <w:rPr>
          <w:sz w:val="32"/>
          <w:szCs w:val="32"/>
        </w:rPr>
      </w:pPr>
    </w:p>
    <w:p w14:paraId="7668B2A1">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2999C8D2">
      <w:pPr>
        <w:pStyle w:val="7"/>
        <w:rPr>
          <w:sz w:val="32"/>
          <w:szCs w:val="32"/>
        </w:rPr>
      </w:pPr>
    </w:p>
    <w:p w14:paraId="0BB9DD5C">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746DC752">
      <w:pPr>
        <w:snapToGrid w:val="0"/>
        <w:spacing w:line="276" w:lineRule="auto"/>
        <w:ind w:firstLine="640" w:firstLineChars="200"/>
        <w:jc w:val="left"/>
        <w:rPr>
          <w:rFonts w:hint="eastAsia" w:ascii="宋体" w:hAnsi="宋体" w:eastAsia="仿宋" w:cs="Times New Roman"/>
          <w:bCs/>
          <w:sz w:val="32"/>
          <w:szCs w:val="32"/>
          <w:u w:val="single"/>
        </w:rPr>
      </w:pPr>
    </w:p>
    <w:p w14:paraId="328477C5">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1EF39876">
      <w:pPr>
        <w:snapToGrid w:val="0"/>
        <w:spacing w:line="276" w:lineRule="auto"/>
        <w:ind w:firstLine="640" w:firstLineChars="200"/>
        <w:jc w:val="left"/>
        <w:rPr>
          <w:rFonts w:hint="eastAsia" w:ascii="宋体" w:hAnsi="宋体" w:eastAsia="仿宋" w:cs="Times New Roman"/>
          <w:bCs/>
          <w:sz w:val="32"/>
          <w:szCs w:val="32"/>
          <w:u w:val="single"/>
        </w:rPr>
      </w:pPr>
    </w:p>
    <w:p w14:paraId="022C9CD2">
      <w:pPr>
        <w:snapToGrid w:val="0"/>
        <w:spacing w:line="276" w:lineRule="auto"/>
        <w:ind w:firstLine="640" w:firstLineChars="200"/>
        <w:jc w:val="left"/>
        <w:rPr>
          <w:rFonts w:hint="eastAsia" w:ascii="宋体" w:hAnsi="宋体" w:eastAsia="仿宋" w:cs="Times New Roman"/>
          <w:bCs/>
          <w:sz w:val="32"/>
          <w:szCs w:val="32"/>
          <w:u w:val="single"/>
        </w:rPr>
      </w:pPr>
    </w:p>
    <w:p w14:paraId="0488CF60">
      <w:pPr>
        <w:snapToGrid w:val="0"/>
        <w:spacing w:line="276" w:lineRule="auto"/>
        <w:ind w:firstLine="640" w:firstLineChars="200"/>
        <w:jc w:val="left"/>
        <w:rPr>
          <w:rFonts w:hint="eastAsia" w:ascii="宋体" w:hAnsi="宋体" w:eastAsia="仿宋" w:cs="Times New Roman"/>
          <w:bCs/>
          <w:sz w:val="32"/>
          <w:szCs w:val="32"/>
          <w:u w:val="single"/>
        </w:rPr>
      </w:pPr>
    </w:p>
    <w:p w14:paraId="0F885A5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7CFF6D00">
      <w:pPr>
        <w:snapToGrid w:val="0"/>
        <w:spacing w:line="276" w:lineRule="auto"/>
        <w:ind w:firstLine="640" w:firstLineChars="200"/>
        <w:jc w:val="left"/>
        <w:rPr>
          <w:rFonts w:hint="eastAsia" w:ascii="宋体" w:hAnsi="宋体" w:eastAsia="仿宋" w:cs="Times New Roman"/>
          <w:bCs/>
          <w:sz w:val="32"/>
          <w:szCs w:val="32"/>
          <w:u w:val="single"/>
        </w:rPr>
      </w:pPr>
    </w:p>
    <w:p w14:paraId="6E05980A">
      <w:pPr>
        <w:snapToGrid w:val="0"/>
        <w:spacing w:line="276" w:lineRule="auto"/>
        <w:ind w:firstLine="640" w:firstLineChars="200"/>
        <w:jc w:val="left"/>
        <w:rPr>
          <w:rFonts w:hint="eastAsia" w:ascii="宋体" w:hAnsi="宋体" w:eastAsia="仿宋" w:cs="Times New Roman"/>
          <w:bCs/>
          <w:sz w:val="32"/>
          <w:szCs w:val="32"/>
        </w:rPr>
      </w:pPr>
    </w:p>
    <w:p w14:paraId="67A6A39A">
      <w:pPr>
        <w:snapToGrid w:val="0"/>
        <w:spacing w:line="276" w:lineRule="auto"/>
        <w:ind w:firstLine="540" w:firstLineChars="150"/>
        <w:jc w:val="center"/>
        <w:rPr>
          <w:rFonts w:hint="eastAsia" w:ascii="宋体" w:hAnsi="宋体" w:eastAsia="仿宋" w:cs="Times New Roman"/>
          <w:bCs/>
          <w:sz w:val="36"/>
          <w:szCs w:val="36"/>
        </w:rPr>
      </w:pPr>
    </w:p>
    <w:p w14:paraId="7EDF4167">
      <w:pPr>
        <w:pStyle w:val="7"/>
        <w:jc w:val="center"/>
        <w:rPr>
          <w:b/>
          <w:sz w:val="44"/>
          <w:szCs w:val="36"/>
        </w:rPr>
      </w:pPr>
    </w:p>
    <w:p w14:paraId="55DD134A">
      <w:pPr>
        <w:pStyle w:val="7"/>
        <w:jc w:val="center"/>
        <w:rPr>
          <w:b/>
          <w:sz w:val="44"/>
          <w:szCs w:val="36"/>
        </w:rPr>
      </w:pPr>
    </w:p>
    <w:p w14:paraId="1D39D5ED">
      <w:pPr>
        <w:pStyle w:val="7"/>
        <w:jc w:val="center"/>
        <w:rPr>
          <w:b/>
          <w:sz w:val="44"/>
          <w:szCs w:val="36"/>
        </w:rPr>
      </w:pPr>
    </w:p>
    <w:p w14:paraId="4ED0A8FB">
      <w:pPr>
        <w:pStyle w:val="7"/>
        <w:jc w:val="center"/>
        <w:rPr>
          <w:b/>
          <w:sz w:val="44"/>
          <w:szCs w:val="36"/>
        </w:rPr>
      </w:pPr>
    </w:p>
    <w:p w14:paraId="35EF94C1">
      <w:pPr>
        <w:pStyle w:val="7"/>
        <w:jc w:val="left"/>
        <w:rPr>
          <w:b/>
          <w:sz w:val="44"/>
          <w:szCs w:val="36"/>
        </w:rPr>
      </w:pPr>
      <w:r>
        <w:rPr>
          <w:rFonts w:hint="eastAsia"/>
          <w:b/>
          <w:sz w:val="36"/>
          <w:szCs w:val="36"/>
        </w:rPr>
        <w:t>一、资格证明文件格式</w:t>
      </w:r>
    </w:p>
    <w:p w14:paraId="432A7559">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4EE4AAE0">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357C4185">
      <w:pPr>
        <w:snapToGrid w:val="0"/>
        <w:spacing w:before="156" w:beforeLines="50" w:after="50" w:line="360" w:lineRule="exact"/>
        <w:rPr>
          <w:rFonts w:hint="eastAsia" w:ascii="宋体" w:hAnsi="宋体" w:eastAsia="宋体" w:cs="Times New Roman"/>
          <w:b/>
          <w:sz w:val="44"/>
          <w:szCs w:val="24"/>
        </w:rPr>
      </w:pPr>
    </w:p>
    <w:p w14:paraId="7AEA659A">
      <w:pPr>
        <w:snapToGrid w:val="0"/>
        <w:spacing w:before="156" w:beforeLines="50" w:after="50" w:line="360" w:lineRule="exact"/>
        <w:ind w:firstLine="3278" w:firstLineChars="742"/>
        <w:rPr>
          <w:rFonts w:hint="eastAsia" w:ascii="宋体" w:hAnsi="宋体" w:eastAsia="宋体" w:cs="Times New Roman"/>
          <w:b/>
          <w:sz w:val="44"/>
          <w:szCs w:val="24"/>
        </w:rPr>
      </w:pPr>
    </w:p>
    <w:p w14:paraId="0D48C06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3B0AFCA0">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2F8A5699">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9290891">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63A8C79">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6F2BEA1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报价人地址：</w:t>
      </w:r>
      <w:r>
        <w:rPr>
          <w:rFonts w:hint="eastAsia" w:ascii="宋体" w:hAnsi="宋体" w:eastAsia="宋体" w:cs="Times New Roman"/>
          <w:bCs/>
          <w:sz w:val="28"/>
          <w:szCs w:val="24"/>
          <w:u w:val="single"/>
        </w:rPr>
        <w:t xml:space="preserve">                      </w:t>
      </w:r>
    </w:p>
    <w:p w14:paraId="02BFDF3B">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15E38585">
      <w:pPr>
        <w:snapToGrid w:val="0"/>
        <w:spacing w:line="1000" w:lineRule="exact"/>
        <w:ind w:firstLine="840" w:firstLineChars="300"/>
        <w:rPr>
          <w:rFonts w:hint="eastAsia" w:ascii="宋体" w:hAnsi="宋体" w:eastAsia="宋体" w:cs="Times New Roman"/>
          <w:bCs/>
          <w:sz w:val="28"/>
          <w:szCs w:val="24"/>
          <w:u w:val="single"/>
        </w:rPr>
      </w:pPr>
    </w:p>
    <w:p w14:paraId="548603CD">
      <w:pPr>
        <w:snapToGrid w:val="0"/>
        <w:spacing w:before="156" w:beforeLines="50" w:after="50" w:line="360" w:lineRule="exact"/>
        <w:ind w:firstLine="5100" w:firstLineChars="1700"/>
        <w:rPr>
          <w:rFonts w:hint="eastAsia" w:ascii="宋体" w:hAnsi="宋体" w:eastAsia="宋体" w:cs="Times New Roman"/>
          <w:bCs/>
          <w:sz w:val="30"/>
          <w:szCs w:val="28"/>
        </w:rPr>
      </w:pPr>
    </w:p>
    <w:p w14:paraId="344CC111">
      <w:pPr>
        <w:snapToGrid w:val="0"/>
        <w:spacing w:before="156" w:beforeLines="50" w:after="50" w:line="360" w:lineRule="exact"/>
        <w:ind w:firstLine="645"/>
        <w:jc w:val="center"/>
        <w:rPr>
          <w:rFonts w:hint="eastAsia" w:ascii="宋体" w:hAnsi="宋体" w:eastAsia="宋体" w:cs="Times New Roman"/>
          <w:bCs/>
          <w:sz w:val="30"/>
          <w:szCs w:val="28"/>
        </w:rPr>
      </w:pPr>
    </w:p>
    <w:p w14:paraId="7F976ABC">
      <w:pPr>
        <w:snapToGrid w:val="0"/>
        <w:spacing w:before="156" w:beforeLines="50" w:after="50" w:line="360" w:lineRule="exact"/>
        <w:ind w:firstLine="645"/>
        <w:jc w:val="center"/>
        <w:rPr>
          <w:rFonts w:hint="eastAsia" w:ascii="宋体" w:hAnsi="宋体" w:eastAsia="宋体" w:cs="Times New Roman"/>
          <w:bCs/>
          <w:sz w:val="30"/>
          <w:szCs w:val="28"/>
        </w:rPr>
      </w:pPr>
    </w:p>
    <w:p w14:paraId="6EE6AC06">
      <w:pPr>
        <w:snapToGrid w:val="0"/>
        <w:spacing w:before="156" w:beforeLines="50" w:after="50" w:line="360" w:lineRule="exact"/>
        <w:ind w:firstLine="645"/>
        <w:jc w:val="center"/>
        <w:rPr>
          <w:rFonts w:hint="eastAsia" w:ascii="宋体" w:hAnsi="宋体" w:eastAsia="宋体" w:cs="Times New Roman"/>
          <w:bCs/>
          <w:sz w:val="30"/>
          <w:szCs w:val="28"/>
        </w:rPr>
      </w:pPr>
      <w:r>
        <w:rPr>
          <w:rFonts w:hint="eastAsia" w:ascii="宋体" w:hAnsi="宋体" w:eastAsia="宋体" w:cs="Times New Roman"/>
          <w:bCs/>
          <w:sz w:val="30"/>
          <w:szCs w:val="28"/>
        </w:rPr>
        <w:t xml:space="preserve">    </w:t>
      </w:r>
    </w:p>
    <w:p w14:paraId="22625A97">
      <w:pPr>
        <w:pStyle w:val="7"/>
        <w:rPr>
          <w:sz w:val="24"/>
          <w:szCs w:val="24"/>
        </w:rPr>
      </w:pPr>
    </w:p>
    <w:p w14:paraId="323A28CD">
      <w:pPr>
        <w:pStyle w:val="7"/>
        <w:rPr>
          <w:sz w:val="24"/>
          <w:szCs w:val="24"/>
        </w:rPr>
      </w:pPr>
    </w:p>
    <w:p w14:paraId="7C3C010F">
      <w:pPr>
        <w:pStyle w:val="7"/>
        <w:rPr>
          <w:sz w:val="24"/>
          <w:szCs w:val="24"/>
        </w:rPr>
      </w:pPr>
    </w:p>
    <w:p w14:paraId="25018C52">
      <w:pPr>
        <w:pStyle w:val="7"/>
        <w:rPr>
          <w:sz w:val="24"/>
          <w:szCs w:val="24"/>
        </w:rPr>
      </w:pPr>
    </w:p>
    <w:p w14:paraId="4770E09C">
      <w:pPr>
        <w:pStyle w:val="7"/>
        <w:rPr>
          <w:sz w:val="24"/>
          <w:szCs w:val="24"/>
        </w:rPr>
      </w:pPr>
    </w:p>
    <w:p w14:paraId="50658AB3">
      <w:pPr>
        <w:pStyle w:val="7"/>
        <w:rPr>
          <w:sz w:val="24"/>
          <w:szCs w:val="24"/>
        </w:rPr>
      </w:pPr>
    </w:p>
    <w:p w14:paraId="6286E08C">
      <w:pPr>
        <w:pStyle w:val="7"/>
        <w:rPr>
          <w:sz w:val="24"/>
          <w:szCs w:val="24"/>
        </w:rPr>
      </w:pPr>
    </w:p>
    <w:p w14:paraId="6B614DCC">
      <w:pPr>
        <w:pStyle w:val="7"/>
        <w:rPr>
          <w:sz w:val="24"/>
          <w:szCs w:val="24"/>
        </w:rPr>
      </w:pPr>
    </w:p>
    <w:p w14:paraId="0EF27D61">
      <w:pPr>
        <w:pStyle w:val="39"/>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07C0A5DE">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04A7EEE6">
      <w:pPr>
        <w:pStyle w:val="7"/>
        <w:rPr>
          <w:sz w:val="24"/>
          <w:szCs w:val="24"/>
        </w:rPr>
      </w:pPr>
    </w:p>
    <w:p w14:paraId="39849857">
      <w:pPr>
        <w:pStyle w:val="7"/>
        <w:rPr>
          <w:sz w:val="24"/>
          <w:szCs w:val="24"/>
        </w:rPr>
      </w:pPr>
    </w:p>
    <w:p w14:paraId="2ED51095">
      <w:pPr>
        <w:pStyle w:val="7"/>
        <w:rPr>
          <w:sz w:val="24"/>
          <w:szCs w:val="24"/>
        </w:rPr>
      </w:pPr>
    </w:p>
    <w:p w14:paraId="3EE9E8D7">
      <w:pPr>
        <w:pStyle w:val="7"/>
        <w:rPr>
          <w:sz w:val="24"/>
          <w:szCs w:val="24"/>
        </w:rPr>
      </w:pPr>
    </w:p>
    <w:p w14:paraId="2E96493D">
      <w:pPr>
        <w:pStyle w:val="7"/>
        <w:rPr>
          <w:sz w:val="24"/>
          <w:szCs w:val="24"/>
        </w:rPr>
      </w:pPr>
    </w:p>
    <w:p w14:paraId="5684676D">
      <w:pPr>
        <w:pStyle w:val="7"/>
        <w:rPr>
          <w:sz w:val="24"/>
          <w:szCs w:val="24"/>
        </w:rPr>
      </w:pPr>
    </w:p>
    <w:p w14:paraId="30809844">
      <w:pPr>
        <w:pStyle w:val="7"/>
        <w:rPr>
          <w:sz w:val="24"/>
          <w:szCs w:val="24"/>
        </w:rPr>
      </w:pPr>
    </w:p>
    <w:p w14:paraId="505E301C">
      <w:pPr>
        <w:pStyle w:val="7"/>
        <w:rPr>
          <w:sz w:val="24"/>
          <w:szCs w:val="24"/>
        </w:rPr>
      </w:pPr>
    </w:p>
    <w:p w14:paraId="48687FFB">
      <w:pPr>
        <w:pStyle w:val="7"/>
        <w:rPr>
          <w:sz w:val="24"/>
          <w:szCs w:val="24"/>
        </w:rPr>
      </w:pPr>
    </w:p>
    <w:p w14:paraId="6C02A9E8">
      <w:pPr>
        <w:pStyle w:val="7"/>
        <w:rPr>
          <w:sz w:val="24"/>
          <w:szCs w:val="24"/>
        </w:rPr>
      </w:pPr>
    </w:p>
    <w:p w14:paraId="3D3D0E6F">
      <w:pPr>
        <w:pStyle w:val="7"/>
        <w:rPr>
          <w:sz w:val="24"/>
          <w:szCs w:val="24"/>
        </w:rPr>
      </w:pPr>
    </w:p>
    <w:p w14:paraId="6A5F9A8E">
      <w:pPr>
        <w:pStyle w:val="7"/>
        <w:rPr>
          <w:sz w:val="24"/>
          <w:szCs w:val="24"/>
        </w:rPr>
      </w:pPr>
    </w:p>
    <w:p w14:paraId="70B91871">
      <w:pPr>
        <w:pStyle w:val="7"/>
        <w:rPr>
          <w:sz w:val="24"/>
          <w:szCs w:val="24"/>
        </w:rPr>
      </w:pPr>
    </w:p>
    <w:p w14:paraId="07EBA59C">
      <w:pPr>
        <w:pStyle w:val="7"/>
        <w:rPr>
          <w:sz w:val="24"/>
          <w:szCs w:val="24"/>
        </w:rPr>
      </w:pPr>
    </w:p>
    <w:p w14:paraId="763CFD34">
      <w:pPr>
        <w:pStyle w:val="7"/>
        <w:rPr>
          <w:sz w:val="24"/>
          <w:szCs w:val="24"/>
        </w:rPr>
      </w:pPr>
    </w:p>
    <w:p w14:paraId="1CCAA230">
      <w:pPr>
        <w:pStyle w:val="7"/>
        <w:rPr>
          <w:sz w:val="24"/>
          <w:szCs w:val="24"/>
        </w:rPr>
      </w:pPr>
    </w:p>
    <w:p w14:paraId="24BCCD4D">
      <w:pPr>
        <w:pStyle w:val="7"/>
        <w:rPr>
          <w:sz w:val="24"/>
          <w:szCs w:val="24"/>
        </w:rPr>
      </w:pPr>
    </w:p>
    <w:p w14:paraId="7A1CCFD9">
      <w:pPr>
        <w:pStyle w:val="7"/>
        <w:rPr>
          <w:sz w:val="24"/>
          <w:szCs w:val="24"/>
        </w:rPr>
      </w:pPr>
    </w:p>
    <w:p w14:paraId="3E5E9F9C">
      <w:pPr>
        <w:pStyle w:val="7"/>
        <w:rPr>
          <w:sz w:val="24"/>
          <w:szCs w:val="24"/>
        </w:rPr>
      </w:pPr>
    </w:p>
    <w:p w14:paraId="4F1DED2D">
      <w:pPr>
        <w:pStyle w:val="7"/>
        <w:rPr>
          <w:sz w:val="24"/>
          <w:szCs w:val="24"/>
        </w:rPr>
      </w:pPr>
    </w:p>
    <w:p w14:paraId="4A20B874">
      <w:pPr>
        <w:pStyle w:val="7"/>
        <w:rPr>
          <w:sz w:val="24"/>
          <w:szCs w:val="24"/>
        </w:rPr>
      </w:pPr>
    </w:p>
    <w:p w14:paraId="64512390">
      <w:pPr>
        <w:pStyle w:val="7"/>
        <w:rPr>
          <w:sz w:val="24"/>
          <w:szCs w:val="24"/>
        </w:rPr>
      </w:pPr>
    </w:p>
    <w:p w14:paraId="17CE3AF5">
      <w:pPr>
        <w:pStyle w:val="7"/>
        <w:rPr>
          <w:sz w:val="24"/>
          <w:szCs w:val="24"/>
        </w:rPr>
      </w:pPr>
    </w:p>
    <w:p w14:paraId="5DB89534">
      <w:pPr>
        <w:pStyle w:val="7"/>
        <w:rPr>
          <w:sz w:val="24"/>
          <w:szCs w:val="24"/>
        </w:rPr>
      </w:pPr>
    </w:p>
    <w:p w14:paraId="0D40E1AE">
      <w:pPr>
        <w:pStyle w:val="7"/>
        <w:rPr>
          <w:sz w:val="24"/>
          <w:szCs w:val="24"/>
        </w:rPr>
      </w:pPr>
    </w:p>
    <w:p w14:paraId="0D1E985F">
      <w:pPr>
        <w:pStyle w:val="7"/>
        <w:rPr>
          <w:sz w:val="24"/>
          <w:szCs w:val="24"/>
        </w:rPr>
      </w:pPr>
    </w:p>
    <w:p w14:paraId="69C824EA">
      <w:pPr>
        <w:pStyle w:val="7"/>
        <w:rPr>
          <w:sz w:val="24"/>
          <w:szCs w:val="24"/>
        </w:rPr>
      </w:pPr>
    </w:p>
    <w:p w14:paraId="3E3D0BE3">
      <w:pPr>
        <w:pStyle w:val="7"/>
        <w:rPr>
          <w:sz w:val="24"/>
          <w:szCs w:val="24"/>
        </w:rPr>
      </w:pPr>
    </w:p>
    <w:p w14:paraId="46FDC600">
      <w:pPr>
        <w:pStyle w:val="7"/>
        <w:rPr>
          <w:sz w:val="24"/>
          <w:szCs w:val="24"/>
        </w:rPr>
      </w:pPr>
    </w:p>
    <w:p w14:paraId="10A1D33B">
      <w:pPr>
        <w:pStyle w:val="7"/>
        <w:rPr>
          <w:sz w:val="24"/>
          <w:szCs w:val="24"/>
        </w:rPr>
      </w:pPr>
    </w:p>
    <w:p w14:paraId="2B31411F">
      <w:pPr>
        <w:pStyle w:val="7"/>
        <w:rPr>
          <w:sz w:val="24"/>
          <w:szCs w:val="24"/>
        </w:rPr>
      </w:pPr>
    </w:p>
    <w:p w14:paraId="1B9C0F11">
      <w:pPr>
        <w:pStyle w:val="7"/>
        <w:rPr>
          <w:sz w:val="24"/>
          <w:szCs w:val="24"/>
        </w:rPr>
      </w:pPr>
    </w:p>
    <w:p w14:paraId="4CFAB99F">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49AFD650">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79BD94D3">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90353B7">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0FAF976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资格条件，我方对此声明负全部法律责任。</w:t>
      </w:r>
    </w:p>
    <w:p w14:paraId="5E512BD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w:t>
      </w:r>
    </w:p>
    <w:p w14:paraId="6B0C42A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5066EA0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172DAA4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4DEAFA9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4A9BD8D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57DB224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0CBEB3A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0AFF719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04B5E98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w:t>
      </w:r>
      <w:bookmarkStart w:id="55" w:name="_GoBack"/>
      <w:bookmarkEnd w:id="55"/>
      <w:r>
        <w:rPr>
          <w:rFonts w:hint="eastAsia" w:ascii="仿宋" w:hAnsi="仿宋" w:eastAsia="仿宋" w:cs="Times New Roman"/>
          <w:sz w:val="28"/>
          <w:szCs w:val="28"/>
        </w:rPr>
        <w:t>真实有效，复印件与原件一致。若存在伪造、篡改或提供虚假信息的行为，自愿接受贵校取消我方投标/中标资格，并将我方列入贵校招投标失信黑名单，2年内不能参加贵校的各类采购投标；</w:t>
      </w:r>
    </w:p>
    <w:p w14:paraId="51CDA07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5890B6D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42C31AE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51EB6CE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4FBEA09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F24325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0AAC6A95">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13819F56">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6ECA6B79">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6689FADD">
      <w:pPr>
        <w:jc w:val="left"/>
        <w:outlineLvl w:val="1"/>
        <w:rPr>
          <w:rFonts w:hint="eastAsia" w:ascii="仿宋" w:hAnsi="仿宋" w:eastAsia="仿宋" w:cs="Times New Roman"/>
          <w:b/>
          <w:sz w:val="36"/>
          <w:szCs w:val="21"/>
        </w:rPr>
      </w:pPr>
    </w:p>
    <w:p w14:paraId="5669DE81">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3689DC1F">
      <w:pPr>
        <w:jc w:val="left"/>
        <w:outlineLvl w:val="1"/>
        <w:rPr>
          <w:rFonts w:hint="eastAsia" w:ascii="仿宋" w:hAnsi="仿宋" w:eastAsia="仿宋" w:cs="Times New Roman"/>
          <w:b/>
          <w:sz w:val="36"/>
          <w:szCs w:val="21"/>
        </w:rPr>
      </w:pPr>
    </w:p>
    <w:p w14:paraId="61CE6242">
      <w:pPr>
        <w:jc w:val="left"/>
        <w:outlineLvl w:val="1"/>
        <w:rPr>
          <w:rFonts w:hint="eastAsia" w:ascii="仿宋" w:hAnsi="仿宋" w:eastAsia="仿宋" w:cs="Times New Roman"/>
          <w:b/>
          <w:sz w:val="36"/>
          <w:szCs w:val="21"/>
        </w:rPr>
      </w:pPr>
    </w:p>
    <w:p w14:paraId="459C6561">
      <w:pPr>
        <w:jc w:val="left"/>
        <w:outlineLvl w:val="1"/>
        <w:rPr>
          <w:rFonts w:hint="eastAsia" w:ascii="仿宋" w:hAnsi="仿宋" w:eastAsia="仿宋" w:cs="Times New Roman"/>
          <w:b/>
          <w:sz w:val="36"/>
          <w:szCs w:val="21"/>
        </w:rPr>
      </w:pPr>
    </w:p>
    <w:p w14:paraId="1BEA0731">
      <w:pPr>
        <w:jc w:val="left"/>
        <w:outlineLvl w:val="1"/>
        <w:rPr>
          <w:rFonts w:hint="eastAsia" w:ascii="仿宋" w:hAnsi="仿宋" w:eastAsia="仿宋" w:cs="Times New Roman"/>
          <w:b/>
          <w:sz w:val="36"/>
          <w:szCs w:val="21"/>
        </w:rPr>
      </w:pPr>
    </w:p>
    <w:p w14:paraId="7C22AB2E">
      <w:pPr>
        <w:jc w:val="left"/>
        <w:outlineLvl w:val="1"/>
        <w:rPr>
          <w:sz w:val="32"/>
          <w:szCs w:val="32"/>
        </w:rPr>
      </w:pPr>
    </w:p>
    <w:p w14:paraId="590DEF62">
      <w:pPr>
        <w:jc w:val="left"/>
        <w:outlineLvl w:val="1"/>
        <w:rPr>
          <w:sz w:val="32"/>
          <w:szCs w:val="32"/>
        </w:rPr>
      </w:pPr>
    </w:p>
    <w:p w14:paraId="06A55D32">
      <w:pPr>
        <w:jc w:val="left"/>
        <w:outlineLvl w:val="1"/>
        <w:rPr>
          <w:sz w:val="32"/>
          <w:szCs w:val="32"/>
        </w:rPr>
      </w:pPr>
    </w:p>
    <w:p w14:paraId="10F4EB6F">
      <w:pPr>
        <w:jc w:val="left"/>
        <w:outlineLvl w:val="1"/>
        <w:rPr>
          <w:sz w:val="32"/>
          <w:szCs w:val="32"/>
        </w:rPr>
      </w:pPr>
    </w:p>
    <w:p w14:paraId="0E9960D4">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2D2462E8">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7F33978">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78F08C9A">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3F4EF23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52B02FEE">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4C2B9D85">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4046CBE9">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77098641">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437058EF">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4810A343">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41542465">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5405157A">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6215BA8A">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76A23C70">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8F57BA4">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0C950C3C">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4D03227A">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0C4E8381">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3B17B5E5">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7A9D75A">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69B76445">
      <w:pPr>
        <w:jc w:val="left"/>
        <w:outlineLvl w:val="1"/>
        <w:rPr>
          <w:rFonts w:hint="eastAsia" w:ascii="仿宋" w:hAnsi="仿宋" w:eastAsia="仿宋" w:cs="Times New Roman"/>
          <w:b/>
          <w:sz w:val="36"/>
          <w:szCs w:val="21"/>
        </w:rPr>
      </w:pPr>
    </w:p>
    <w:p w14:paraId="3B8E9D55">
      <w:pPr>
        <w:jc w:val="left"/>
        <w:outlineLvl w:val="1"/>
        <w:rPr>
          <w:rFonts w:hint="eastAsia" w:ascii="仿宋" w:hAnsi="仿宋" w:eastAsia="仿宋" w:cs="Times New Roman"/>
          <w:b/>
          <w:sz w:val="36"/>
          <w:szCs w:val="21"/>
        </w:rPr>
      </w:pPr>
    </w:p>
    <w:p w14:paraId="69369FCA">
      <w:pPr>
        <w:pStyle w:val="7"/>
      </w:pPr>
    </w:p>
    <w:p w14:paraId="6F9D0762">
      <w:pPr>
        <w:pStyle w:val="7"/>
      </w:pPr>
    </w:p>
    <w:p w14:paraId="7631363B">
      <w:pPr>
        <w:pStyle w:val="7"/>
      </w:pPr>
    </w:p>
    <w:p w14:paraId="58FA6A8C">
      <w:pPr>
        <w:pStyle w:val="7"/>
      </w:pPr>
    </w:p>
    <w:p w14:paraId="19D6531B">
      <w:pPr>
        <w:pStyle w:val="7"/>
      </w:pPr>
    </w:p>
    <w:p w14:paraId="4E3EE8E8">
      <w:pPr>
        <w:pStyle w:val="7"/>
      </w:pPr>
    </w:p>
    <w:p w14:paraId="5E79EBAA">
      <w:pPr>
        <w:pStyle w:val="7"/>
      </w:pPr>
    </w:p>
    <w:p w14:paraId="0652BB5E">
      <w:pPr>
        <w:pStyle w:val="7"/>
      </w:pPr>
    </w:p>
    <w:p w14:paraId="2EEABA20">
      <w:pPr>
        <w:pStyle w:val="7"/>
      </w:pPr>
    </w:p>
    <w:p w14:paraId="7DF32135">
      <w:pPr>
        <w:pStyle w:val="7"/>
      </w:pPr>
    </w:p>
    <w:p w14:paraId="734DE84F">
      <w:pPr>
        <w:pStyle w:val="7"/>
      </w:pPr>
    </w:p>
    <w:p w14:paraId="0ED61ADC">
      <w:pPr>
        <w:pStyle w:val="7"/>
      </w:pPr>
    </w:p>
    <w:p w14:paraId="46D11CA6">
      <w:pPr>
        <w:pStyle w:val="7"/>
      </w:pPr>
    </w:p>
    <w:p w14:paraId="5F44E505">
      <w:pPr>
        <w:pStyle w:val="7"/>
      </w:pPr>
    </w:p>
    <w:p w14:paraId="7112CD0D">
      <w:pPr>
        <w:pStyle w:val="7"/>
      </w:pPr>
    </w:p>
    <w:p w14:paraId="79515C90">
      <w:pPr>
        <w:pStyle w:val="7"/>
      </w:pPr>
    </w:p>
    <w:p w14:paraId="4158EF6E">
      <w:pPr>
        <w:pStyle w:val="7"/>
      </w:pPr>
    </w:p>
    <w:p w14:paraId="0BE63731">
      <w:pPr>
        <w:pStyle w:val="7"/>
      </w:pPr>
    </w:p>
    <w:p w14:paraId="19DFF951">
      <w:pPr>
        <w:pStyle w:val="7"/>
      </w:pPr>
    </w:p>
    <w:p w14:paraId="406C59D7">
      <w:pPr>
        <w:pStyle w:val="7"/>
      </w:pPr>
    </w:p>
    <w:p w14:paraId="17BF568A">
      <w:pPr>
        <w:pStyle w:val="7"/>
      </w:pPr>
    </w:p>
    <w:p w14:paraId="22679FE9">
      <w:pPr>
        <w:pStyle w:val="7"/>
      </w:pPr>
    </w:p>
    <w:p w14:paraId="7C6E74D3">
      <w:pPr>
        <w:pStyle w:val="7"/>
      </w:pPr>
    </w:p>
    <w:p w14:paraId="3484B1EC">
      <w:pPr>
        <w:pStyle w:val="7"/>
      </w:pPr>
    </w:p>
    <w:p w14:paraId="61AA7A88">
      <w:pPr>
        <w:pStyle w:val="7"/>
      </w:pPr>
    </w:p>
    <w:p w14:paraId="642B9E67">
      <w:pPr>
        <w:pStyle w:val="7"/>
      </w:pPr>
    </w:p>
    <w:p w14:paraId="7868BDF1">
      <w:pPr>
        <w:pStyle w:val="7"/>
      </w:pPr>
    </w:p>
    <w:p w14:paraId="14AB1C2C">
      <w:pPr>
        <w:pStyle w:val="7"/>
      </w:pPr>
    </w:p>
    <w:p w14:paraId="1573BB66">
      <w:pPr>
        <w:pStyle w:val="7"/>
      </w:pPr>
    </w:p>
    <w:p w14:paraId="654BAF4C">
      <w:pPr>
        <w:pStyle w:val="7"/>
      </w:pPr>
    </w:p>
    <w:p w14:paraId="2390F46B">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0AFD5F60">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3540A9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CBA872D">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6AE092B3">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468D690">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4FC1DC5">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70EBEA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BB5977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3081696F">
      <w:pPr>
        <w:spacing w:line="360" w:lineRule="auto"/>
        <w:ind w:left="540"/>
        <w:jc w:val="left"/>
        <w:rPr>
          <w:rFonts w:hint="eastAsia" w:ascii="仿宋" w:hAnsi="仿宋" w:eastAsia="仿宋" w:cs="Times New Roman"/>
          <w:sz w:val="30"/>
          <w:szCs w:val="30"/>
        </w:rPr>
      </w:pPr>
    </w:p>
    <w:p w14:paraId="6FB684B0">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480D4B13">
      <w:pPr>
        <w:spacing w:line="360" w:lineRule="auto"/>
        <w:ind w:left="540"/>
        <w:jc w:val="left"/>
        <w:rPr>
          <w:rFonts w:hint="eastAsia" w:ascii="仿宋" w:hAnsi="仿宋" w:eastAsia="仿宋" w:cs="Times New Roman"/>
          <w:sz w:val="30"/>
          <w:szCs w:val="30"/>
        </w:rPr>
      </w:pPr>
    </w:p>
    <w:p w14:paraId="4105EA8C">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1B03E41D">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F52EB8C">
      <w:pPr>
        <w:pStyle w:val="7"/>
      </w:pPr>
    </w:p>
    <w:p w14:paraId="2B2350D9">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4E15965">
      <w:pPr>
        <w:snapToGrid w:val="0"/>
        <w:spacing w:before="156" w:beforeLines="50" w:after="50" w:line="360" w:lineRule="auto"/>
        <w:jc w:val="center"/>
        <w:rPr>
          <w:rFonts w:hint="eastAsia" w:ascii="仿宋" w:hAnsi="仿宋" w:eastAsia="仿宋" w:cs="Times New Roman"/>
          <w:b/>
          <w:sz w:val="30"/>
          <w:szCs w:val="30"/>
        </w:rPr>
      </w:pPr>
    </w:p>
    <w:p w14:paraId="542F32E2">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1BFF4F9">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2C25CB60">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40F7F053">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02CB80D0">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54196B2D">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6E317F5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7BEFA703">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33E72017">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44C6F1E4">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1F3A8202">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229A59D3">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1674B7FD">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16C33191">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5951342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1B4BC4DF">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44CC51AA">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6D65B881">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72640D38">
      <w:pPr>
        <w:pStyle w:val="7"/>
        <w:rPr>
          <w:sz w:val="28"/>
          <w:szCs w:val="28"/>
        </w:rPr>
      </w:pPr>
    </w:p>
    <w:p w14:paraId="035C0DF7">
      <w:pPr>
        <w:jc w:val="left"/>
        <w:outlineLvl w:val="1"/>
        <w:rPr>
          <w:rFonts w:hint="eastAsia" w:ascii="仿宋" w:hAnsi="仿宋" w:eastAsia="仿宋" w:cs="Times New Roman"/>
          <w:b/>
          <w:sz w:val="36"/>
          <w:szCs w:val="21"/>
        </w:rPr>
      </w:pPr>
    </w:p>
    <w:p w14:paraId="7D907081">
      <w:pPr>
        <w:jc w:val="left"/>
        <w:outlineLvl w:val="1"/>
        <w:rPr>
          <w:rFonts w:hint="eastAsia" w:ascii="仿宋" w:hAnsi="仿宋" w:eastAsia="仿宋" w:cs="Times New Roman"/>
          <w:b/>
          <w:sz w:val="36"/>
          <w:szCs w:val="21"/>
        </w:rPr>
      </w:pPr>
    </w:p>
    <w:p w14:paraId="2938F269">
      <w:pPr>
        <w:pStyle w:val="7"/>
        <w:numPr>
          <w:ilvl w:val="0"/>
          <w:numId w:val="7"/>
        </w:numPr>
        <w:jc w:val="left"/>
        <w:rPr>
          <w:b/>
          <w:sz w:val="44"/>
          <w:szCs w:val="36"/>
        </w:rPr>
      </w:pPr>
      <w:r>
        <w:rPr>
          <w:rFonts w:hint="eastAsia"/>
          <w:b/>
          <w:sz w:val="44"/>
          <w:szCs w:val="36"/>
        </w:rPr>
        <w:t>商务技术文件格式</w:t>
      </w:r>
    </w:p>
    <w:p w14:paraId="47EBEA5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08AC2B5">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265C7A30">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1E31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44C8548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45EED9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lang w:val="en-US" w:eastAsia="zh-CN"/>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8CDCF69">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6A9ADE43">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524D987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05DFDFA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7895021B">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77EB53B">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22FB4FC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534B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A52AE21">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00EF09B3">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6D53C61B">
            <w:pPr>
              <w:spacing w:line="360" w:lineRule="exact"/>
              <w:rPr>
                <w:rFonts w:hint="eastAsia" w:ascii="仿宋" w:hAnsi="仿宋" w:eastAsia="仿宋" w:cs="Arial"/>
                <w:bCs/>
                <w:sz w:val="30"/>
                <w:szCs w:val="30"/>
              </w:rPr>
            </w:pPr>
          </w:p>
          <w:p w14:paraId="41E3EED9">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04ED59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4B641A9B">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A5D7A9B">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F358564">
            <w:pPr>
              <w:widowControl/>
              <w:jc w:val="center"/>
              <w:textAlignment w:val="center"/>
              <w:rPr>
                <w:rFonts w:hint="eastAsia" w:ascii="仿宋" w:hAnsi="仿宋" w:eastAsia="仿宋" w:cs="Arial"/>
                <w:bCs/>
                <w:sz w:val="30"/>
                <w:szCs w:val="30"/>
              </w:rPr>
            </w:pPr>
          </w:p>
        </w:tc>
      </w:tr>
      <w:tr w14:paraId="6094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8384B1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72A68EE5">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7AC4CE97">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B366A2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2193E271">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4162D56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7A1ADC8">
            <w:pPr>
              <w:widowControl/>
              <w:jc w:val="center"/>
              <w:textAlignment w:val="center"/>
              <w:rPr>
                <w:rFonts w:hint="eastAsia" w:ascii="仿宋" w:hAnsi="仿宋" w:eastAsia="仿宋" w:cs="Arial"/>
                <w:bCs/>
                <w:sz w:val="30"/>
                <w:szCs w:val="30"/>
              </w:rPr>
            </w:pPr>
          </w:p>
        </w:tc>
      </w:tr>
      <w:tr w14:paraId="2ED6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EA1658E">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50C1D86B">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379866ED">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6CB154B5">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6A0B8FF3">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89E4234">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A5EB86E">
            <w:pPr>
              <w:widowControl/>
              <w:jc w:val="center"/>
              <w:textAlignment w:val="center"/>
              <w:rPr>
                <w:rFonts w:hint="eastAsia" w:ascii="仿宋" w:hAnsi="仿宋" w:eastAsia="仿宋" w:cs="Arial"/>
                <w:bCs/>
                <w:sz w:val="30"/>
                <w:szCs w:val="30"/>
              </w:rPr>
            </w:pPr>
          </w:p>
        </w:tc>
      </w:tr>
      <w:tr w14:paraId="07D1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6A2C1D31">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3968E2CD">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92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12A3E10A">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3FCED7D">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01F544B0">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3958D50D">
      <w:pPr>
        <w:pStyle w:val="9"/>
        <w:ind w:left="5250"/>
      </w:pPr>
    </w:p>
    <w:p w14:paraId="1FF227A6">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7E7C035">
      <w:pPr>
        <w:pStyle w:val="9"/>
        <w:ind w:left="5250"/>
      </w:pPr>
    </w:p>
    <w:p w14:paraId="00C56DE0">
      <w:pPr>
        <w:pStyle w:val="7"/>
        <w:jc w:val="left"/>
      </w:pPr>
    </w:p>
    <w:p w14:paraId="3114DBD4">
      <w:pPr>
        <w:pStyle w:val="7"/>
        <w:jc w:val="left"/>
      </w:pPr>
    </w:p>
    <w:p w14:paraId="0842295D">
      <w:pPr>
        <w:pStyle w:val="7"/>
        <w:jc w:val="left"/>
      </w:pPr>
    </w:p>
    <w:p w14:paraId="6D398F7D">
      <w:pPr>
        <w:pStyle w:val="7"/>
        <w:jc w:val="left"/>
      </w:pPr>
    </w:p>
    <w:p w14:paraId="5442A788">
      <w:pPr>
        <w:pStyle w:val="7"/>
        <w:jc w:val="left"/>
      </w:pPr>
    </w:p>
    <w:p w14:paraId="1C21EB0B">
      <w:pPr>
        <w:pStyle w:val="7"/>
        <w:jc w:val="left"/>
      </w:pPr>
    </w:p>
    <w:p w14:paraId="5C42C848">
      <w:pPr>
        <w:pStyle w:val="7"/>
        <w:jc w:val="left"/>
      </w:pPr>
    </w:p>
    <w:p w14:paraId="090A5058">
      <w:pPr>
        <w:pStyle w:val="7"/>
        <w:jc w:val="left"/>
      </w:pPr>
    </w:p>
    <w:p w14:paraId="6BB8FFCE">
      <w:pPr>
        <w:pStyle w:val="7"/>
        <w:jc w:val="left"/>
      </w:pPr>
    </w:p>
    <w:p w14:paraId="333A78C0">
      <w:pPr>
        <w:pStyle w:val="7"/>
        <w:jc w:val="left"/>
      </w:pPr>
    </w:p>
    <w:p w14:paraId="65371B6A">
      <w:pPr>
        <w:pStyle w:val="7"/>
        <w:jc w:val="left"/>
      </w:pPr>
    </w:p>
    <w:p w14:paraId="0E239E28">
      <w:pPr>
        <w:pStyle w:val="7"/>
        <w:jc w:val="left"/>
      </w:pPr>
    </w:p>
    <w:p w14:paraId="0777268C">
      <w:pPr>
        <w:pStyle w:val="7"/>
        <w:jc w:val="left"/>
        <w:rPr>
          <w:rFonts w:hint="eastAsia" w:ascii="宋体" w:hAnsi="宋体" w:cs="宋体"/>
        </w:rPr>
      </w:pPr>
      <w:r>
        <w:rPr>
          <w:rFonts w:hint="eastAsia" w:ascii="宋体" w:hAnsi="宋体" w:cs="宋体"/>
          <w:b/>
          <w:sz w:val="28"/>
        </w:rPr>
        <w:t>2.商务、技术响应、偏离情况说明表</w:t>
      </w:r>
    </w:p>
    <w:p w14:paraId="010E7D50">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23EA1F3C">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6464DD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67BD0AFA">
            <w:pPr>
              <w:adjustRightInd w:val="0"/>
              <w:snapToGrid w:val="0"/>
              <w:spacing w:line="300" w:lineRule="auto"/>
              <w:outlineLvl w:val="0"/>
              <w:rPr>
                <w:rFonts w:hint="eastAsia" w:ascii="宋体" w:hAnsi="宋体"/>
                <w:sz w:val="24"/>
                <w:szCs w:val="24"/>
              </w:rPr>
            </w:pPr>
            <w:bookmarkStart w:id="5" w:name="_Toc254970729"/>
            <w:bookmarkStart w:id="6" w:name="_Toc405905876"/>
            <w:bookmarkStart w:id="7" w:name="_Toc254970588"/>
            <w:bookmarkStart w:id="8" w:name="_Toc173211900"/>
            <w:bookmarkStart w:id="9" w:name="_Toc173066401"/>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5A5AF76A">
            <w:pPr>
              <w:jc w:val="center"/>
              <w:rPr>
                <w:rFonts w:hint="eastAsia"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ED296E4">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FF38C8F">
            <w:pPr>
              <w:adjustRightInd w:val="0"/>
              <w:snapToGrid w:val="0"/>
              <w:spacing w:line="300" w:lineRule="auto"/>
              <w:jc w:val="center"/>
              <w:outlineLvl w:val="0"/>
              <w:rPr>
                <w:rFonts w:hint="eastAsia" w:ascii="宋体" w:hAnsi="宋体"/>
                <w:sz w:val="24"/>
                <w:szCs w:val="24"/>
              </w:rPr>
            </w:pPr>
            <w:bookmarkStart w:id="11" w:name="_Toc405905879"/>
            <w:bookmarkStart w:id="12" w:name="_Toc173211903"/>
            <w:bookmarkStart w:id="13" w:name="_Toc254970591"/>
            <w:bookmarkStart w:id="14" w:name="_Toc173066404"/>
            <w:bookmarkStart w:id="15" w:name="_Toc254970732"/>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D641ACC">
            <w:pPr>
              <w:adjustRightInd w:val="0"/>
              <w:snapToGrid w:val="0"/>
              <w:spacing w:line="300" w:lineRule="auto"/>
              <w:jc w:val="center"/>
              <w:outlineLvl w:val="0"/>
              <w:rPr>
                <w:rFonts w:hint="eastAsia" w:ascii="宋体" w:hAnsi="宋体"/>
                <w:sz w:val="24"/>
                <w:szCs w:val="24"/>
              </w:rPr>
            </w:pPr>
            <w:bookmarkStart w:id="17" w:name="_Toc254970592"/>
            <w:bookmarkStart w:id="18" w:name="_Toc173211904"/>
            <w:bookmarkStart w:id="19" w:name="_Toc171349582"/>
            <w:bookmarkStart w:id="20" w:name="_Toc254970733"/>
            <w:bookmarkStart w:id="21" w:name="_Toc173066405"/>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50D02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C952599">
            <w:pPr>
              <w:adjustRightInd w:val="0"/>
              <w:snapToGrid w:val="0"/>
              <w:spacing w:line="240" w:lineRule="exact"/>
              <w:jc w:val="center"/>
              <w:outlineLvl w:val="0"/>
              <w:rPr>
                <w:rFonts w:hint="eastAsia"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4969E5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C56D855">
            <w:pPr>
              <w:adjustRightInd w:val="0"/>
              <w:snapToGrid w:val="0"/>
              <w:spacing w:line="240" w:lineRule="exact"/>
              <w:jc w:val="center"/>
              <w:outlineLvl w:val="0"/>
              <w:rPr>
                <w:rFonts w:hint="eastAsia" w:ascii="宋体" w:hAnsi="宋体"/>
                <w:sz w:val="24"/>
                <w:szCs w:val="24"/>
              </w:rPr>
            </w:pPr>
            <w:bookmarkStart w:id="25" w:name="_Toc254970593"/>
            <w:bookmarkStart w:id="26" w:name="_Toc254970734"/>
            <w:bookmarkStart w:id="27" w:name="_Toc173211905"/>
            <w:bookmarkStart w:id="28" w:name="_Toc173066406"/>
            <w:bookmarkStart w:id="29" w:name="_Toc405905882"/>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0AB6123E">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5E69471">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9D96433">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E5FEBA">
            <w:pPr>
              <w:adjustRightInd w:val="0"/>
              <w:snapToGrid w:val="0"/>
              <w:spacing w:line="240" w:lineRule="exact"/>
              <w:jc w:val="center"/>
              <w:outlineLvl w:val="0"/>
              <w:rPr>
                <w:rFonts w:hint="eastAsia" w:ascii="宋体" w:hAnsi="宋体"/>
                <w:sz w:val="24"/>
                <w:szCs w:val="24"/>
              </w:rPr>
            </w:pPr>
          </w:p>
        </w:tc>
      </w:tr>
      <w:tr w14:paraId="759CC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8FDDD1">
            <w:pPr>
              <w:adjustRightInd w:val="0"/>
              <w:snapToGrid w:val="0"/>
              <w:spacing w:line="240" w:lineRule="exact"/>
              <w:jc w:val="center"/>
              <w:outlineLvl w:val="0"/>
              <w:rPr>
                <w:rFonts w:hint="eastAsia" w:ascii="宋体" w:hAnsi="宋体"/>
                <w:sz w:val="24"/>
                <w:szCs w:val="24"/>
              </w:rPr>
            </w:pPr>
            <w:bookmarkStart w:id="31" w:name="_Toc171349585"/>
            <w:bookmarkStart w:id="32" w:name="_Toc173211906"/>
            <w:bookmarkStart w:id="33" w:name="_Toc173066407"/>
            <w:bookmarkStart w:id="34" w:name="_Toc254970735"/>
            <w:bookmarkStart w:id="35" w:name="_Toc254970594"/>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703DA95D">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8973A2B">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C9F2DF5">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1B2DB87">
            <w:pPr>
              <w:adjustRightInd w:val="0"/>
              <w:snapToGrid w:val="0"/>
              <w:spacing w:line="240" w:lineRule="exact"/>
              <w:jc w:val="center"/>
              <w:outlineLvl w:val="0"/>
              <w:rPr>
                <w:rFonts w:hint="eastAsia" w:ascii="宋体" w:hAnsi="宋体"/>
                <w:sz w:val="24"/>
                <w:szCs w:val="24"/>
              </w:rPr>
            </w:pPr>
          </w:p>
        </w:tc>
      </w:tr>
      <w:tr w14:paraId="361C1A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919E6E">
            <w:pPr>
              <w:adjustRightInd w:val="0"/>
              <w:snapToGrid w:val="0"/>
              <w:spacing w:line="240" w:lineRule="exact"/>
              <w:jc w:val="center"/>
              <w:outlineLvl w:val="0"/>
              <w:rPr>
                <w:rFonts w:hint="eastAsia" w:ascii="宋体" w:hAnsi="宋体"/>
                <w:sz w:val="24"/>
                <w:szCs w:val="24"/>
              </w:rPr>
            </w:pPr>
            <w:bookmarkStart w:id="37" w:name="_Toc173211907"/>
            <w:bookmarkStart w:id="38" w:name="_Toc254970736"/>
            <w:bookmarkStart w:id="39" w:name="_Toc405905884"/>
            <w:bookmarkStart w:id="40" w:name="_Toc171349586"/>
            <w:bookmarkStart w:id="41" w:name="_Toc173066408"/>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3C77960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2C3BA53">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9CFE0F0">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6F52868">
            <w:pPr>
              <w:adjustRightInd w:val="0"/>
              <w:snapToGrid w:val="0"/>
              <w:spacing w:line="240" w:lineRule="exact"/>
              <w:jc w:val="center"/>
              <w:outlineLvl w:val="0"/>
              <w:rPr>
                <w:rFonts w:hint="eastAsia" w:ascii="宋体" w:hAnsi="宋体"/>
                <w:sz w:val="24"/>
                <w:szCs w:val="24"/>
              </w:rPr>
            </w:pPr>
          </w:p>
        </w:tc>
      </w:tr>
      <w:tr w14:paraId="6DE8F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F21A504">
            <w:pPr>
              <w:adjustRightInd w:val="0"/>
              <w:snapToGrid w:val="0"/>
              <w:spacing w:line="240" w:lineRule="exact"/>
              <w:jc w:val="center"/>
              <w:outlineLvl w:val="0"/>
              <w:rPr>
                <w:rFonts w:hint="eastAsia"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78C4814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A0D105">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7F7E44">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71BBB30">
            <w:pPr>
              <w:adjustRightInd w:val="0"/>
              <w:snapToGrid w:val="0"/>
              <w:spacing w:line="240" w:lineRule="exact"/>
              <w:jc w:val="center"/>
              <w:outlineLvl w:val="0"/>
              <w:rPr>
                <w:rFonts w:hint="eastAsia" w:ascii="宋体" w:hAnsi="宋体"/>
                <w:sz w:val="24"/>
                <w:szCs w:val="24"/>
              </w:rPr>
            </w:pPr>
          </w:p>
        </w:tc>
      </w:tr>
      <w:tr w14:paraId="0F409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F3062D">
            <w:pPr>
              <w:adjustRightInd w:val="0"/>
              <w:snapToGrid w:val="0"/>
              <w:spacing w:line="240" w:lineRule="exact"/>
              <w:jc w:val="center"/>
              <w:outlineLvl w:val="0"/>
              <w:rPr>
                <w:rFonts w:hint="eastAsia"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00C0D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CC1B904">
            <w:pPr>
              <w:adjustRightInd w:val="0"/>
              <w:snapToGrid w:val="0"/>
              <w:spacing w:line="240" w:lineRule="exact"/>
              <w:jc w:val="center"/>
              <w:outlineLvl w:val="0"/>
              <w:rPr>
                <w:rFonts w:hint="eastAsia"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6EE39D5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D1869CD">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C9FAA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4655F76">
            <w:pPr>
              <w:adjustRightInd w:val="0"/>
              <w:snapToGrid w:val="0"/>
              <w:spacing w:line="240" w:lineRule="exact"/>
              <w:jc w:val="center"/>
              <w:outlineLvl w:val="0"/>
              <w:rPr>
                <w:rFonts w:hint="eastAsia" w:ascii="宋体" w:hAnsi="宋体"/>
                <w:sz w:val="24"/>
                <w:szCs w:val="24"/>
              </w:rPr>
            </w:pPr>
          </w:p>
        </w:tc>
      </w:tr>
      <w:tr w14:paraId="7B8E9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95DAE19">
            <w:pPr>
              <w:adjustRightInd w:val="0"/>
              <w:snapToGrid w:val="0"/>
              <w:spacing w:line="240" w:lineRule="exact"/>
              <w:jc w:val="center"/>
              <w:outlineLvl w:val="0"/>
              <w:rPr>
                <w:rFonts w:hint="eastAsia"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9ECD10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D1B81CA">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4ED542">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2582BA1">
            <w:pPr>
              <w:adjustRightInd w:val="0"/>
              <w:snapToGrid w:val="0"/>
              <w:spacing w:line="240" w:lineRule="exact"/>
              <w:jc w:val="center"/>
              <w:outlineLvl w:val="0"/>
              <w:rPr>
                <w:rFonts w:hint="eastAsia" w:ascii="宋体" w:hAnsi="宋体"/>
                <w:sz w:val="24"/>
                <w:szCs w:val="24"/>
              </w:rPr>
            </w:pPr>
          </w:p>
        </w:tc>
      </w:tr>
      <w:tr w14:paraId="11A098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7C28705">
            <w:pPr>
              <w:adjustRightInd w:val="0"/>
              <w:snapToGrid w:val="0"/>
              <w:spacing w:line="240" w:lineRule="exact"/>
              <w:jc w:val="center"/>
              <w:outlineLvl w:val="0"/>
              <w:rPr>
                <w:rFonts w:hint="eastAsia"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CC2844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D59CA92">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8BD2C2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541B1B">
            <w:pPr>
              <w:adjustRightInd w:val="0"/>
              <w:snapToGrid w:val="0"/>
              <w:spacing w:line="240" w:lineRule="exact"/>
              <w:jc w:val="center"/>
              <w:outlineLvl w:val="0"/>
              <w:rPr>
                <w:rFonts w:hint="eastAsia" w:ascii="宋体" w:hAnsi="宋体"/>
                <w:sz w:val="24"/>
                <w:szCs w:val="24"/>
              </w:rPr>
            </w:pPr>
          </w:p>
        </w:tc>
      </w:tr>
      <w:tr w14:paraId="66BC68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8FAC71F">
            <w:pPr>
              <w:adjustRightInd w:val="0"/>
              <w:snapToGrid w:val="0"/>
              <w:spacing w:line="240" w:lineRule="exact"/>
              <w:jc w:val="center"/>
              <w:outlineLvl w:val="0"/>
              <w:rPr>
                <w:rFonts w:hint="eastAsia"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27B5C2C2">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2FD65C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E36E40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AD5CA3E">
            <w:pPr>
              <w:adjustRightInd w:val="0"/>
              <w:snapToGrid w:val="0"/>
              <w:spacing w:line="240" w:lineRule="exact"/>
              <w:jc w:val="center"/>
              <w:outlineLvl w:val="0"/>
              <w:rPr>
                <w:rFonts w:hint="eastAsia" w:ascii="宋体" w:hAnsi="宋体"/>
                <w:sz w:val="24"/>
                <w:szCs w:val="24"/>
              </w:rPr>
            </w:pPr>
          </w:p>
        </w:tc>
      </w:tr>
    </w:tbl>
    <w:p w14:paraId="650C028A">
      <w:pPr>
        <w:adjustRightInd w:val="0"/>
        <w:snapToGrid w:val="0"/>
        <w:spacing w:line="460" w:lineRule="exact"/>
        <w:rPr>
          <w:rFonts w:hint="eastAsia" w:ascii="宋体" w:hAnsi="宋体"/>
          <w:sz w:val="24"/>
        </w:rPr>
      </w:pPr>
      <w:r>
        <w:rPr>
          <w:rFonts w:hint="eastAsia" w:ascii="宋体" w:hAnsi="宋体"/>
          <w:sz w:val="24"/>
        </w:rPr>
        <w:t>说明：</w:t>
      </w:r>
    </w:p>
    <w:p w14:paraId="18CA5216">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24BBC353">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2411CDF">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26FD690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62B43A51">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372E1569">
      <w:pPr>
        <w:pStyle w:val="7"/>
        <w:jc w:val="left"/>
        <w:rPr>
          <w:rFonts w:hint="eastAsia" w:ascii="宋体" w:hAnsi="宋体" w:cs="宋体"/>
          <w:b/>
          <w:sz w:val="24"/>
          <w:szCs w:val="24"/>
        </w:rPr>
      </w:pPr>
    </w:p>
    <w:p w14:paraId="7DF82AC4">
      <w:pPr>
        <w:pStyle w:val="7"/>
        <w:jc w:val="left"/>
        <w:rPr>
          <w:b/>
          <w:sz w:val="28"/>
          <w:szCs w:val="24"/>
        </w:rPr>
      </w:pPr>
      <w:r>
        <w:rPr>
          <w:rFonts w:hint="eastAsia" w:ascii="宋体" w:hAnsi="宋体" w:cs="宋体"/>
          <w:b/>
          <w:sz w:val="24"/>
          <w:szCs w:val="24"/>
        </w:rPr>
        <w:t xml:space="preserve">      　　　　　　　　　　　　　                           日期：   年  月  日</w:t>
      </w:r>
    </w:p>
    <w:p w14:paraId="348DA84D">
      <w:pPr>
        <w:pStyle w:val="7"/>
        <w:jc w:val="left"/>
        <w:rPr>
          <w:rFonts w:hint="eastAsia" w:asciiTheme="minorEastAsia" w:hAnsiTheme="minorEastAsia" w:cstheme="minorEastAsia"/>
          <w:b/>
          <w:sz w:val="28"/>
          <w:szCs w:val="24"/>
        </w:rPr>
      </w:pPr>
    </w:p>
    <w:sectPr>
      <w:footerReference r:id="rId3" w:type="default"/>
      <w:pgSz w:w="11906" w:h="16838"/>
      <w:pgMar w:top="567" w:right="566" w:bottom="567" w:left="567"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43128731">
        <w:pPr>
          <w:pStyle w:val="11"/>
          <w:jc w:val="center"/>
        </w:pPr>
        <w:r>
          <w:fldChar w:fldCharType="begin"/>
        </w:r>
        <w:r>
          <w:instrText xml:space="preserve">PAGE   \* MERGEFORMAT</w:instrText>
        </w:r>
        <w:r>
          <w:fldChar w:fldCharType="separate"/>
        </w:r>
        <w:r>
          <w:rPr>
            <w:lang w:val="zh-CN"/>
          </w:rPr>
          <w:t>13</w:t>
        </w:r>
        <w:r>
          <w:fldChar w:fldCharType="end"/>
        </w:r>
      </w:p>
    </w:sdtContent>
  </w:sdt>
  <w:p w14:paraId="38D9472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764F1"/>
    <w:multiLevelType w:val="singleLevel"/>
    <w:tmpl w:val="FFE764F1"/>
    <w:lvl w:ilvl="0" w:tentative="0">
      <w:start w:val="6"/>
      <w:numFmt w:val="decimal"/>
      <w:lvlText w:val="%1."/>
      <w:lvlJc w:val="left"/>
      <w:pPr>
        <w:tabs>
          <w:tab w:val="left" w:pos="312"/>
        </w:tabs>
      </w:p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1E2F9CF4"/>
    <w:multiLevelType w:val="singleLevel"/>
    <w:tmpl w:val="1E2F9CF4"/>
    <w:lvl w:ilvl="0" w:tentative="0">
      <w:start w:val="1"/>
      <w:numFmt w:val="chineseCounting"/>
      <w:suff w:val="nothing"/>
      <w:lvlText w:val="%1．"/>
      <w:lvlJc w:val="left"/>
      <w:rPr>
        <w:rFonts w:hint="eastAsia"/>
      </w:rPr>
    </w:lvl>
  </w:abstractNum>
  <w:abstractNum w:abstractNumId="3">
    <w:nsid w:val="25A51AEF"/>
    <w:multiLevelType w:val="singleLevel"/>
    <w:tmpl w:val="25A51AEF"/>
    <w:lvl w:ilvl="0" w:tentative="0">
      <w:start w:val="2"/>
      <w:numFmt w:val="decimal"/>
      <w:lvlText w:val="%1."/>
      <w:lvlJc w:val="left"/>
      <w:pPr>
        <w:tabs>
          <w:tab w:val="left" w:pos="312"/>
        </w:tabs>
      </w:pPr>
    </w:lvl>
  </w:abstractNum>
  <w:abstractNum w:abstractNumId="4">
    <w:nsid w:val="442756B7"/>
    <w:multiLevelType w:val="singleLevel"/>
    <w:tmpl w:val="442756B7"/>
    <w:lvl w:ilvl="0" w:tentative="0">
      <w:start w:val="2"/>
      <w:numFmt w:val="chineseCounting"/>
      <w:suff w:val="nothing"/>
      <w:lvlText w:val="%1、"/>
      <w:lvlJc w:val="left"/>
      <w:rPr>
        <w:rFonts w:hint="eastAsia"/>
      </w:rPr>
    </w:lvl>
  </w:abstractNum>
  <w:abstractNum w:abstractNumId="5">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6">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04473"/>
    <w:rsid w:val="00027077"/>
    <w:rsid w:val="000353E4"/>
    <w:rsid w:val="000371B6"/>
    <w:rsid w:val="00041884"/>
    <w:rsid w:val="00050574"/>
    <w:rsid w:val="00055D18"/>
    <w:rsid w:val="00077DA4"/>
    <w:rsid w:val="00085DC7"/>
    <w:rsid w:val="00091BBA"/>
    <w:rsid w:val="00093628"/>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0DD6"/>
    <w:rsid w:val="001A3AD1"/>
    <w:rsid w:val="001B5550"/>
    <w:rsid w:val="001B5FA5"/>
    <w:rsid w:val="001B6DE9"/>
    <w:rsid w:val="001C3BDA"/>
    <w:rsid w:val="001D09A7"/>
    <w:rsid w:val="001D3CCC"/>
    <w:rsid w:val="001E526E"/>
    <w:rsid w:val="00203CF6"/>
    <w:rsid w:val="00214A79"/>
    <w:rsid w:val="00223015"/>
    <w:rsid w:val="00245A85"/>
    <w:rsid w:val="0025797D"/>
    <w:rsid w:val="0026380E"/>
    <w:rsid w:val="002720D2"/>
    <w:rsid w:val="002724AA"/>
    <w:rsid w:val="00284B2E"/>
    <w:rsid w:val="002E25C1"/>
    <w:rsid w:val="002E34A0"/>
    <w:rsid w:val="003005C7"/>
    <w:rsid w:val="003006F3"/>
    <w:rsid w:val="00302685"/>
    <w:rsid w:val="00303E8A"/>
    <w:rsid w:val="0031193C"/>
    <w:rsid w:val="00314AD1"/>
    <w:rsid w:val="003226FC"/>
    <w:rsid w:val="00335B09"/>
    <w:rsid w:val="003517AE"/>
    <w:rsid w:val="003531AC"/>
    <w:rsid w:val="00361FDB"/>
    <w:rsid w:val="003841BF"/>
    <w:rsid w:val="0038781F"/>
    <w:rsid w:val="00392FB5"/>
    <w:rsid w:val="003A7361"/>
    <w:rsid w:val="003A778C"/>
    <w:rsid w:val="003B2D64"/>
    <w:rsid w:val="003B511D"/>
    <w:rsid w:val="003C27EA"/>
    <w:rsid w:val="003C6AF5"/>
    <w:rsid w:val="003D1DF7"/>
    <w:rsid w:val="003E013E"/>
    <w:rsid w:val="003F002C"/>
    <w:rsid w:val="003F4F5F"/>
    <w:rsid w:val="003F5571"/>
    <w:rsid w:val="004215D2"/>
    <w:rsid w:val="00435A85"/>
    <w:rsid w:val="00450776"/>
    <w:rsid w:val="00465CC3"/>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C1D51"/>
    <w:rsid w:val="004D39AE"/>
    <w:rsid w:val="004D71C9"/>
    <w:rsid w:val="004E47D4"/>
    <w:rsid w:val="004E56D9"/>
    <w:rsid w:val="004F4853"/>
    <w:rsid w:val="00504B78"/>
    <w:rsid w:val="00530FA9"/>
    <w:rsid w:val="00540D48"/>
    <w:rsid w:val="005417EA"/>
    <w:rsid w:val="00544392"/>
    <w:rsid w:val="00545F20"/>
    <w:rsid w:val="005527E5"/>
    <w:rsid w:val="00564743"/>
    <w:rsid w:val="005650AD"/>
    <w:rsid w:val="0056622D"/>
    <w:rsid w:val="0056697D"/>
    <w:rsid w:val="00567370"/>
    <w:rsid w:val="0057651C"/>
    <w:rsid w:val="0058310B"/>
    <w:rsid w:val="00583B87"/>
    <w:rsid w:val="00585A31"/>
    <w:rsid w:val="005912AA"/>
    <w:rsid w:val="00591B20"/>
    <w:rsid w:val="005A16A0"/>
    <w:rsid w:val="005A28E4"/>
    <w:rsid w:val="005A2C42"/>
    <w:rsid w:val="005B6934"/>
    <w:rsid w:val="005B7AD7"/>
    <w:rsid w:val="005C0A72"/>
    <w:rsid w:val="005D169E"/>
    <w:rsid w:val="005E6B06"/>
    <w:rsid w:val="005F2B93"/>
    <w:rsid w:val="00601983"/>
    <w:rsid w:val="00602370"/>
    <w:rsid w:val="00630019"/>
    <w:rsid w:val="00632477"/>
    <w:rsid w:val="00645F9D"/>
    <w:rsid w:val="00646167"/>
    <w:rsid w:val="00664795"/>
    <w:rsid w:val="00672F61"/>
    <w:rsid w:val="00677DB4"/>
    <w:rsid w:val="0068443C"/>
    <w:rsid w:val="006A4D42"/>
    <w:rsid w:val="006B482F"/>
    <w:rsid w:val="006C1152"/>
    <w:rsid w:val="006C7932"/>
    <w:rsid w:val="006C7F0E"/>
    <w:rsid w:val="006E3DB3"/>
    <w:rsid w:val="006E627A"/>
    <w:rsid w:val="00704EEE"/>
    <w:rsid w:val="0071754A"/>
    <w:rsid w:val="007362D5"/>
    <w:rsid w:val="007368E8"/>
    <w:rsid w:val="00736FD4"/>
    <w:rsid w:val="007372F1"/>
    <w:rsid w:val="00746EB5"/>
    <w:rsid w:val="007509A5"/>
    <w:rsid w:val="00771256"/>
    <w:rsid w:val="00776334"/>
    <w:rsid w:val="00780E24"/>
    <w:rsid w:val="00787A90"/>
    <w:rsid w:val="007A25FA"/>
    <w:rsid w:val="007B3216"/>
    <w:rsid w:val="007D0E25"/>
    <w:rsid w:val="007E2DF2"/>
    <w:rsid w:val="007F5CD8"/>
    <w:rsid w:val="007F67CC"/>
    <w:rsid w:val="00804F65"/>
    <w:rsid w:val="008174D0"/>
    <w:rsid w:val="00837D71"/>
    <w:rsid w:val="00842DFC"/>
    <w:rsid w:val="008450BD"/>
    <w:rsid w:val="008502C8"/>
    <w:rsid w:val="00853E6F"/>
    <w:rsid w:val="0086743E"/>
    <w:rsid w:val="00870FEB"/>
    <w:rsid w:val="0087254D"/>
    <w:rsid w:val="0087785B"/>
    <w:rsid w:val="00893A92"/>
    <w:rsid w:val="00893FAC"/>
    <w:rsid w:val="00895149"/>
    <w:rsid w:val="0089596C"/>
    <w:rsid w:val="008A0B0E"/>
    <w:rsid w:val="008A0FDD"/>
    <w:rsid w:val="008E0AA6"/>
    <w:rsid w:val="008E2A0C"/>
    <w:rsid w:val="009225D0"/>
    <w:rsid w:val="009225FE"/>
    <w:rsid w:val="009276C3"/>
    <w:rsid w:val="009449B4"/>
    <w:rsid w:val="0094756C"/>
    <w:rsid w:val="00951FAE"/>
    <w:rsid w:val="00955C64"/>
    <w:rsid w:val="00967AD8"/>
    <w:rsid w:val="00967E5C"/>
    <w:rsid w:val="009745CF"/>
    <w:rsid w:val="00980E85"/>
    <w:rsid w:val="00982041"/>
    <w:rsid w:val="00992C20"/>
    <w:rsid w:val="009B316D"/>
    <w:rsid w:val="009B56E3"/>
    <w:rsid w:val="009D231C"/>
    <w:rsid w:val="009D3F71"/>
    <w:rsid w:val="009E741C"/>
    <w:rsid w:val="009E7CDD"/>
    <w:rsid w:val="009F4293"/>
    <w:rsid w:val="009F61EB"/>
    <w:rsid w:val="00A02E6E"/>
    <w:rsid w:val="00A05354"/>
    <w:rsid w:val="00A05B62"/>
    <w:rsid w:val="00A07A3E"/>
    <w:rsid w:val="00A20C30"/>
    <w:rsid w:val="00A25CEF"/>
    <w:rsid w:val="00A4704C"/>
    <w:rsid w:val="00A5798F"/>
    <w:rsid w:val="00A64F73"/>
    <w:rsid w:val="00A669E2"/>
    <w:rsid w:val="00A86171"/>
    <w:rsid w:val="00A92E08"/>
    <w:rsid w:val="00AA101B"/>
    <w:rsid w:val="00AA1C65"/>
    <w:rsid w:val="00AB4824"/>
    <w:rsid w:val="00AC4444"/>
    <w:rsid w:val="00AC66CC"/>
    <w:rsid w:val="00AD3232"/>
    <w:rsid w:val="00AD3C1E"/>
    <w:rsid w:val="00AD5C1E"/>
    <w:rsid w:val="00AE3FEC"/>
    <w:rsid w:val="00AE5463"/>
    <w:rsid w:val="00AF0F93"/>
    <w:rsid w:val="00AF4A09"/>
    <w:rsid w:val="00B02F55"/>
    <w:rsid w:val="00B07F1A"/>
    <w:rsid w:val="00B16D94"/>
    <w:rsid w:val="00B171A5"/>
    <w:rsid w:val="00B26774"/>
    <w:rsid w:val="00B300A6"/>
    <w:rsid w:val="00B3500A"/>
    <w:rsid w:val="00B52E31"/>
    <w:rsid w:val="00B566C4"/>
    <w:rsid w:val="00B721D2"/>
    <w:rsid w:val="00B766AF"/>
    <w:rsid w:val="00B86F23"/>
    <w:rsid w:val="00B936BD"/>
    <w:rsid w:val="00BA1CC8"/>
    <w:rsid w:val="00BA249E"/>
    <w:rsid w:val="00BB7677"/>
    <w:rsid w:val="00C03835"/>
    <w:rsid w:val="00C31B42"/>
    <w:rsid w:val="00C43775"/>
    <w:rsid w:val="00C460D6"/>
    <w:rsid w:val="00C53746"/>
    <w:rsid w:val="00C608B4"/>
    <w:rsid w:val="00C7190D"/>
    <w:rsid w:val="00C72A1B"/>
    <w:rsid w:val="00C74780"/>
    <w:rsid w:val="00C9263A"/>
    <w:rsid w:val="00C928EB"/>
    <w:rsid w:val="00CB0563"/>
    <w:rsid w:val="00CB1097"/>
    <w:rsid w:val="00CC7C88"/>
    <w:rsid w:val="00CD19BF"/>
    <w:rsid w:val="00CD438B"/>
    <w:rsid w:val="00CD606E"/>
    <w:rsid w:val="00CE6508"/>
    <w:rsid w:val="00CF0478"/>
    <w:rsid w:val="00CF0708"/>
    <w:rsid w:val="00D137C2"/>
    <w:rsid w:val="00D16688"/>
    <w:rsid w:val="00D21FA4"/>
    <w:rsid w:val="00D2458C"/>
    <w:rsid w:val="00D30EB7"/>
    <w:rsid w:val="00D4335A"/>
    <w:rsid w:val="00D47A16"/>
    <w:rsid w:val="00D53546"/>
    <w:rsid w:val="00D749F4"/>
    <w:rsid w:val="00D931C0"/>
    <w:rsid w:val="00D94717"/>
    <w:rsid w:val="00D94744"/>
    <w:rsid w:val="00DA141F"/>
    <w:rsid w:val="00DA6BE6"/>
    <w:rsid w:val="00DD299E"/>
    <w:rsid w:val="00DD2AF4"/>
    <w:rsid w:val="00DE1083"/>
    <w:rsid w:val="00DF1487"/>
    <w:rsid w:val="00E126EC"/>
    <w:rsid w:val="00E364D2"/>
    <w:rsid w:val="00E40D70"/>
    <w:rsid w:val="00E426BF"/>
    <w:rsid w:val="00E5096A"/>
    <w:rsid w:val="00E55527"/>
    <w:rsid w:val="00E67D90"/>
    <w:rsid w:val="00E70646"/>
    <w:rsid w:val="00E96A0A"/>
    <w:rsid w:val="00EA6ED2"/>
    <w:rsid w:val="00EB59B3"/>
    <w:rsid w:val="00EB66A6"/>
    <w:rsid w:val="00ED4BAA"/>
    <w:rsid w:val="00F03257"/>
    <w:rsid w:val="00F04090"/>
    <w:rsid w:val="00F13735"/>
    <w:rsid w:val="00F2656E"/>
    <w:rsid w:val="00F37774"/>
    <w:rsid w:val="00F50F96"/>
    <w:rsid w:val="00F51F16"/>
    <w:rsid w:val="00F53703"/>
    <w:rsid w:val="00F73AA4"/>
    <w:rsid w:val="00F762F8"/>
    <w:rsid w:val="00F9005E"/>
    <w:rsid w:val="00FA0419"/>
    <w:rsid w:val="00FB08FE"/>
    <w:rsid w:val="00FC2758"/>
    <w:rsid w:val="00FC331E"/>
    <w:rsid w:val="00FC59B6"/>
    <w:rsid w:val="00FD00A2"/>
    <w:rsid w:val="00FD5DFE"/>
    <w:rsid w:val="00FE1249"/>
    <w:rsid w:val="00FE2318"/>
    <w:rsid w:val="00FE57D5"/>
    <w:rsid w:val="00FE5CFF"/>
    <w:rsid w:val="00FF7EE2"/>
    <w:rsid w:val="052971A9"/>
    <w:rsid w:val="05567BCF"/>
    <w:rsid w:val="05B111AF"/>
    <w:rsid w:val="05B955A9"/>
    <w:rsid w:val="0C911AFA"/>
    <w:rsid w:val="0DE15120"/>
    <w:rsid w:val="0F7909A8"/>
    <w:rsid w:val="0FE93A22"/>
    <w:rsid w:val="105D1B31"/>
    <w:rsid w:val="152E356B"/>
    <w:rsid w:val="1A4772B8"/>
    <w:rsid w:val="1A675CCB"/>
    <w:rsid w:val="1AAB0964"/>
    <w:rsid w:val="1B912C21"/>
    <w:rsid w:val="1F2D6B06"/>
    <w:rsid w:val="1F752E36"/>
    <w:rsid w:val="22A52928"/>
    <w:rsid w:val="22DB0136"/>
    <w:rsid w:val="234A77AC"/>
    <w:rsid w:val="24CB5DD2"/>
    <w:rsid w:val="252218B8"/>
    <w:rsid w:val="25BC36B4"/>
    <w:rsid w:val="25EA35B4"/>
    <w:rsid w:val="273954D6"/>
    <w:rsid w:val="2B141771"/>
    <w:rsid w:val="2B5B3134"/>
    <w:rsid w:val="2C8F0B18"/>
    <w:rsid w:val="303A0730"/>
    <w:rsid w:val="316424EB"/>
    <w:rsid w:val="33194A17"/>
    <w:rsid w:val="37FC2926"/>
    <w:rsid w:val="39124E76"/>
    <w:rsid w:val="3A7C56B5"/>
    <w:rsid w:val="3D271595"/>
    <w:rsid w:val="40A908BA"/>
    <w:rsid w:val="4A725F90"/>
    <w:rsid w:val="4AB3020D"/>
    <w:rsid w:val="4C12301C"/>
    <w:rsid w:val="4D685148"/>
    <w:rsid w:val="4EF96F3A"/>
    <w:rsid w:val="513B1330"/>
    <w:rsid w:val="53652EB4"/>
    <w:rsid w:val="558F63CF"/>
    <w:rsid w:val="5C1C2E1C"/>
    <w:rsid w:val="5DFD28D7"/>
    <w:rsid w:val="5EC6574C"/>
    <w:rsid w:val="63772297"/>
    <w:rsid w:val="63EE34BC"/>
    <w:rsid w:val="63FD6050"/>
    <w:rsid w:val="68A43AD7"/>
    <w:rsid w:val="6C1A549F"/>
    <w:rsid w:val="7066285B"/>
    <w:rsid w:val="70BA2651"/>
    <w:rsid w:val="733A21E7"/>
    <w:rsid w:val="75106CE6"/>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字符"/>
    <w:basedOn w:val="18"/>
    <w:link w:val="7"/>
    <w:qFormat/>
    <w:uiPriority w:val="99"/>
  </w:style>
  <w:style w:type="character" w:customStyle="1" w:styleId="23">
    <w:name w:val="正文文本首行缩进 字符"/>
    <w:basedOn w:val="22"/>
    <w:link w:val="16"/>
    <w:qFormat/>
    <w:uiPriority w:val="99"/>
  </w:style>
  <w:style w:type="character" w:customStyle="1" w:styleId="24">
    <w:name w:val="标题 1 字符"/>
    <w:basedOn w:val="18"/>
    <w:link w:val="2"/>
    <w:qFormat/>
    <w:uiPriority w:val="9"/>
    <w:rPr>
      <w:b/>
      <w:bCs/>
      <w:kern w:val="44"/>
      <w:sz w:val="44"/>
      <w:szCs w:val="44"/>
    </w:rPr>
  </w:style>
  <w:style w:type="character" w:customStyle="1" w:styleId="25">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6">
    <w:name w:val="页眉 字符"/>
    <w:basedOn w:val="18"/>
    <w:link w:val="12"/>
    <w:qFormat/>
    <w:uiPriority w:val="99"/>
    <w:rPr>
      <w:rFonts w:asciiTheme="minorHAnsi" w:hAnsiTheme="minorHAnsi" w:eastAsiaTheme="minorEastAsia" w:cstheme="minorBidi"/>
      <w:kern w:val="2"/>
      <w:sz w:val="18"/>
      <w:szCs w:val="18"/>
    </w:rPr>
  </w:style>
  <w:style w:type="character" w:customStyle="1" w:styleId="27">
    <w:name w:val="页脚 字符"/>
    <w:basedOn w:val="18"/>
    <w:link w:val="11"/>
    <w:qFormat/>
    <w:uiPriority w:val="99"/>
    <w:rPr>
      <w:rFonts w:asciiTheme="minorHAnsi" w:hAnsiTheme="minorHAnsi" w:eastAsiaTheme="minorEastAsia" w:cstheme="minorBidi"/>
      <w:kern w:val="2"/>
      <w:sz w:val="18"/>
      <w:szCs w:val="18"/>
    </w:rPr>
  </w:style>
  <w:style w:type="character" w:customStyle="1" w:styleId="28">
    <w:name w:val="批注文字 字符"/>
    <w:basedOn w:val="18"/>
    <w:link w:val="6"/>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字符"/>
    <w:basedOn w:val="18"/>
    <w:link w:val="4"/>
    <w:semiHidden/>
    <w:qFormat/>
    <w:uiPriority w:val="9"/>
    <w:rPr>
      <w:b/>
      <w:bCs/>
      <w:kern w:val="2"/>
      <w:sz w:val="32"/>
      <w:szCs w:val="32"/>
    </w:rPr>
  </w:style>
  <w:style w:type="character" w:customStyle="1" w:styleId="33">
    <w:name w:val="纯文本 字符"/>
    <w:link w:val="8"/>
    <w:qFormat/>
    <w:uiPriority w:val="99"/>
    <w:rPr>
      <w:rFonts w:ascii="宋体" w:hAnsi="Courier New"/>
      <w:kern w:val="2"/>
      <w:sz w:val="21"/>
      <w:szCs w:val="22"/>
    </w:rPr>
  </w:style>
  <w:style w:type="paragraph" w:customStyle="1" w:styleId="3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8">
    <w:name w:val="标题2"/>
    <w:basedOn w:val="1"/>
    <w:next w:val="1"/>
    <w:qFormat/>
    <w:uiPriority w:val="0"/>
    <w:pPr>
      <w:outlineLvl w:val="1"/>
    </w:pPr>
    <w:rPr>
      <w:b/>
    </w:rPr>
  </w:style>
  <w:style w:type="paragraph" w:customStyle="1" w:styleId="39">
    <w:name w:val="标题3（文件格式）"/>
    <w:basedOn w:val="1"/>
    <w:next w:val="1"/>
    <w:qFormat/>
    <w:uiPriority w:val="0"/>
    <w:pPr>
      <w:spacing w:line="480" w:lineRule="exact"/>
      <w:outlineLvl w:val="2"/>
    </w:pPr>
    <w:rPr>
      <w:rFonts w:hAnsi="宋体"/>
      <w:b/>
      <w:color w:val="000000"/>
      <w:sz w:val="30"/>
      <w:szCs w:val="44"/>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Arial" w:hAnsi="Arial" w:eastAsia="Arial" w:cs="Arial"/>
      <w:szCs w:val="21"/>
      <w:lang w:eastAsia="en-US"/>
    </w:rPr>
  </w:style>
  <w:style w:type="paragraph" w:customStyle="1" w:styleId="42">
    <w:name w:val="修订2"/>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10509</Words>
  <Characters>11672</Characters>
  <Lines>103</Lines>
  <Paragraphs>29</Paragraphs>
  <TotalTime>25</TotalTime>
  <ScaleCrop>false</ScaleCrop>
  <LinksUpToDate>false</LinksUpToDate>
  <CharactersWithSpaces>13059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2026-01-21T13:01:00Z</dcterms:created>
  <dc:creator>Windows</dc:creator>
  <cp:lastModifiedBy> RONG</cp:lastModifiedBy>
  <dcterms:modified xsi:type="dcterms:W3CDTF">2026-03-05T07:26:02Z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4023DD0BAFB64CE398F2436C767DED4A_13</vt:lpwstr>
  </property>
</Properties>
</file>