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校铃广播系统升级改造采购</w:t>
      </w:r>
      <w:r>
        <w:rPr>
          <w:rFonts w:hint="eastAsia" w:ascii="Arial" w:hAnsi="Arial" w:cs="Arial"/>
          <w:b/>
          <w:sz w:val="28"/>
          <w:szCs w:val="32"/>
          <w:lang w:eastAsia="zh-CN"/>
        </w:rPr>
        <w:t>（</w:t>
      </w:r>
      <w:r>
        <w:rPr>
          <w:rFonts w:hint="eastAsia" w:ascii="Arial" w:hAnsi="Arial" w:cs="Arial"/>
          <w:b/>
          <w:sz w:val="28"/>
          <w:szCs w:val="32"/>
          <w:lang w:val="en-US" w:eastAsia="zh-CN"/>
        </w:rPr>
        <w:t>重</w:t>
      </w:r>
      <w:r>
        <w:rPr>
          <w:rFonts w:hint="eastAsia" w:ascii="Arial" w:hAnsi="Arial" w:cs="Arial"/>
          <w:b/>
          <w:sz w:val="28"/>
          <w:szCs w:val="32"/>
          <w:lang w:eastAsia="zh-CN"/>
        </w:rPr>
        <w:t>）</w:t>
      </w:r>
      <w:r>
        <w:rPr>
          <w:rFonts w:hint="eastAsia" w:ascii="Arial" w:hAnsi="Arial" w:cs="Arial"/>
          <w:b/>
          <w:sz w:val="28"/>
          <w:szCs w:val="32"/>
        </w:rPr>
        <w:t>项目</w:t>
      </w:r>
      <w:r>
        <w:rPr>
          <w:rFonts w:ascii="Arial" w:hAnsi="Arial" w:cs="Arial"/>
          <w:b/>
          <w:sz w:val="28"/>
          <w:szCs w:val="32"/>
        </w:rPr>
        <w:t>询价采购公告</w:t>
      </w:r>
      <w:r>
        <w:rPr>
          <w:rFonts w:hint="eastAsia" w:ascii="Arial" w:hAnsi="Arial" w:cs="Arial"/>
          <w:b/>
          <w:sz w:val="28"/>
          <w:szCs w:val="32"/>
        </w:rPr>
        <w:t xml:space="preserve"> </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37</w:t>
      </w:r>
      <w:r>
        <w:rPr>
          <w:rFonts w:hint="eastAsia" w:ascii="Arial" w:hAnsi="Arial" w:cs="Arial"/>
          <w:b/>
          <w:bCs/>
          <w:kern w:val="0"/>
          <w:sz w:val="22"/>
          <w:szCs w:val="24"/>
          <w:lang w:val="en-US" w:eastAsia="zh-CN" w:bidi="en-US"/>
        </w:rPr>
        <w:t>-2</w:t>
      </w:r>
      <w:r>
        <w:rPr>
          <w:rFonts w:ascii="Arial" w:hAnsi="Arial" w:cs="Arial"/>
          <w:b/>
          <w:bCs/>
          <w:kern w:val="0"/>
          <w:sz w:val="22"/>
          <w:szCs w:val="24"/>
          <w:lang w:bidi="en-US"/>
        </w:rPr>
        <w:t xml:space="preserve"> </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校铃广播系统升级改造采购</w:t>
      </w:r>
      <w:r>
        <w:rPr>
          <w:rFonts w:hint="eastAsia" w:ascii="Arial" w:hAnsi="Arial" w:cs="Arial"/>
          <w:bCs/>
          <w:kern w:val="0"/>
          <w:sz w:val="24"/>
          <w:szCs w:val="28"/>
          <w:lang w:eastAsia="zh-CN" w:bidi="en-US"/>
        </w:rPr>
        <w:t>（</w:t>
      </w:r>
      <w:r>
        <w:rPr>
          <w:rFonts w:hint="eastAsia" w:ascii="Arial" w:hAnsi="Arial" w:cs="Arial"/>
          <w:bCs/>
          <w:kern w:val="0"/>
          <w:sz w:val="24"/>
          <w:szCs w:val="28"/>
          <w:lang w:val="en-US" w:eastAsia="zh-CN" w:bidi="en-US"/>
        </w:rPr>
        <w:t>重</w:t>
      </w:r>
      <w:r>
        <w:rPr>
          <w:rFonts w:hint="eastAsia" w:ascii="Arial" w:hAnsi="Arial" w:cs="Arial"/>
          <w:bCs/>
          <w:kern w:val="0"/>
          <w:sz w:val="24"/>
          <w:szCs w:val="28"/>
          <w:lang w:eastAsia="zh-CN" w:bidi="en-US"/>
        </w:rPr>
        <w:t>）</w:t>
      </w:r>
    </w:p>
    <w:p w14:paraId="2C37862B">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bidi="en-US"/>
        </w:rPr>
        <w:t>玖万伍仟柒佰贰拾元整（¥95720.00）</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r>
        <w:rPr>
          <w:rFonts w:hint="eastAsia" w:cs="Arial" w:asciiTheme="minorEastAsia" w:hAnsiTheme="minorEastAsia"/>
          <w:b/>
          <w:bCs/>
          <w:color w:val="auto"/>
          <w:kern w:val="0"/>
          <w:sz w:val="24"/>
          <w:szCs w:val="28"/>
          <w:lang w:bidi="en-US"/>
        </w:rPr>
        <w:t xml:space="preserve"> </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251"/>
        <w:gridCol w:w="645"/>
        <w:gridCol w:w="703"/>
        <w:gridCol w:w="47"/>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cs="Arial" w:asciiTheme="minorEastAsia" w:hAnsiTheme="minorEastAsia"/>
                <w:color w:val="000000"/>
                <w:kern w:val="0"/>
                <w:szCs w:val="21"/>
              </w:rPr>
            </w:pPr>
            <w:r>
              <w:rPr>
                <w:rFonts w:cs="Arial" w:asciiTheme="minorEastAsia" w:hAnsiTheme="minorEastAsia"/>
                <w:color w:val="000000"/>
                <w:kern w:val="0"/>
                <w:szCs w:val="21"/>
              </w:rPr>
              <w:t>序号</w:t>
            </w:r>
          </w:p>
        </w:tc>
        <w:tc>
          <w:tcPr>
            <w:tcW w:w="851" w:type="dxa"/>
            <w:shd w:val="clear" w:color="auto" w:fill="auto"/>
            <w:noWrap/>
            <w:vAlign w:val="center"/>
          </w:tcPr>
          <w:p w14:paraId="6AC9D901">
            <w:pPr>
              <w:widowControl/>
              <w:jc w:val="center"/>
              <w:rPr>
                <w:rFonts w:cs="Arial" w:asciiTheme="minorEastAsia" w:hAnsiTheme="minorEastAsia"/>
                <w:color w:val="000000"/>
                <w:kern w:val="0"/>
                <w:szCs w:val="21"/>
              </w:rPr>
            </w:pPr>
            <w:r>
              <w:rPr>
                <w:rFonts w:cs="Arial" w:asciiTheme="minorEastAsia" w:hAnsiTheme="minorEastAsia"/>
                <w:color w:val="000000"/>
                <w:kern w:val="0"/>
                <w:szCs w:val="21"/>
              </w:rPr>
              <w:t>名称</w:t>
            </w:r>
          </w:p>
        </w:tc>
        <w:tc>
          <w:tcPr>
            <w:tcW w:w="7251" w:type="dxa"/>
            <w:shd w:val="clear" w:color="auto" w:fill="auto"/>
            <w:noWrap/>
            <w:vAlign w:val="center"/>
          </w:tcPr>
          <w:p w14:paraId="7D4F8037">
            <w:pPr>
              <w:widowControl/>
              <w:jc w:val="center"/>
              <w:rPr>
                <w:rFonts w:cs="Arial" w:asciiTheme="minorEastAsia" w:hAnsiTheme="minorEastAsia"/>
                <w:color w:val="000000"/>
                <w:kern w:val="0"/>
                <w:szCs w:val="21"/>
              </w:rPr>
            </w:pPr>
            <w:r>
              <w:rPr>
                <w:rFonts w:hint="eastAsia" w:cs="Arial" w:asciiTheme="minorEastAsia" w:hAnsiTheme="minorEastAsia"/>
                <w:kern w:val="0"/>
                <w:szCs w:val="21"/>
              </w:rPr>
              <w:t>参数</w:t>
            </w:r>
            <w:r>
              <w:rPr>
                <w:rFonts w:hint="eastAsia" w:cs="Arial" w:asciiTheme="minorEastAsia" w:hAnsiTheme="minorEastAsia"/>
                <w:color w:val="000000"/>
                <w:kern w:val="0"/>
                <w:szCs w:val="21"/>
              </w:rPr>
              <w:t>要求</w:t>
            </w:r>
          </w:p>
        </w:tc>
        <w:tc>
          <w:tcPr>
            <w:tcW w:w="645" w:type="dxa"/>
            <w:shd w:val="clear" w:color="auto" w:fill="auto"/>
            <w:noWrap/>
            <w:vAlign w:val="center"/>
          </w:tcPr>
          <w:p w14:paraId="701323AA">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数量</w:t>
            </w:r>
          </w:p>
        </w:tc>
        <w:tc>
          <w:tcPr>
            <w:tcW w:w="750" w:type="dxa"/>
            <w:gridSpan w:val="2"/>
            <w:shd w:val="clear" w:color="auto" w:fill="auto"/>
            <w:noWrap/>
            <w:vAlign w:val="center"/>
          </w:tcPr>
          <w:p w14:paraId="02431E57">
            <w:pPr>
              <w:widowControl/>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16" w:type="dxa"/>
          </w:tcPr>
          <w:p w14:paraId="710523F7">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1</w:t>
            </w:r>
          </w:p>
        </w:tc>
        <w:tc>
          <w:tcPr>
            <w:tcW w:w="851" w:type="dxa"/>
            <w:shd w:val="clear" w:color="auto" w:fill="auto"/>
            <w:noWrap/>
          </w:tcPr>
          <w:p w14:paraId="2656D23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室内壁挂音箱</w:t>
            </w:r>
          </w:p>
        </w:tc>
        <w:tc>
          <w:tcPr>
            <w:tcW w:w="7251" w:type="dxa"/>
            <w:shd w:val="clear" w:color="auto" w:fill="auto"/>
            <w:noWrap/>
          </w:tcPr>
          <w:p w14:paraId="77883EFF">
            <w:pPr>
              <w:jc w:val="left"/>
              <w:rPr>
                <w:rFonts w:ascii="宋体" w:hAnsi="宋体" w:eastAsia="宋体"/>
                <w:szCs w:val="21"/>
              </w:rPr>
            </w:pPr>
            <w:r>
              <w:rPr>
                <w:rFonts w:ascii="宋体" w:hAnsi="宋体" w:eastAsia="宋体"/>
                <w:szCs w:val="21"/>
              </w:rPr>
              <w:t>1</w:t>
            </w:r>
            <w:r>
              <w:rPr>
                <w:rFonts w:hint="eastAsia" w:ascii="宋体" w:hAnsi="宋体" w:eastAsia="宋体"/>
                <w:szCs w:val="21"/>
              </w:rPr>
              <w:t>.额定功率（100V）：10W</w:t>
            </w:r>
          </w:p>
          <w:p w14:paraId="2C1065EC">
            <w:pPr>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.额定功率（70V）：5W</w:t>
            </w:r>
          </w:p>
          <w:p w14:paraId="0750B335">
            <w:pPr>
              <w:jc w:val="left"/>
              <w:rPr>
                <w:rFonts w:ascii="宋体" w:hAnsi="宋体" w:eastAsia="宋体"/>
                <w:szCs w:val="21"/>
              </w:rPr>
            </w:pPr>
            <w:r>
              <w:rPr>
                <w:rFonts w:ascii="宋体" w:hAnsi="宋体" w:eastAsia="宋体"/>
                <w:szCs w:val="21"/>
              </w:rPr>
              <w:t>3</w:t>
            </w:r>
            <w:r>
              <w:rPr>
                <w:rFonts w:hint="eastAsia" w:ascii="宋体" w:hAnsi="宋体" w:eastAsia="宋体"/>
                <w:szCs w:val="21"/>
              </w:rPr>
              <w:t>.灵敏度：91dB ±3dB</w:t>
            </w:r>
          </w:p>
          <w:p w14:paraId="79F39AF3">
            <w:pPr>
              <w:jc w:val="left"/>
              <w:rPr>
                <w:rFonts w:ascii="宋体" w:hAnsi="宋体" w:eastAsia="宋体"/>
                <w:szCs w:val="21"/>
              </w:rPr>
            </w:pPr>
            <w:r>
              <w:rPr>
                <w:rFonts w:ascii="宋体" w:hAnsi="宋体" w:eastAsia="宋体"/>
                <w:szCs w:val="21"/>
              </w:rPr>
              <w:t>4</w:t>
            </w:r>
            <w:r>
              <w:rPr>
                <w:rFonts w:hint="eastAsia" w:ascii="宋体" w:hAnsi="宋体" w:eastAsia="宋体"/>
                <w:szCs w:val="21"/>
              </w:rPr>
              <w:t>.最大声压级：101dB ±3dB</w:t>
            </w:r>
          </w:p>
          <w:p w14:paraId="2035C9A6">
            <w:pPr>
              <w:jc w:val="left"/>
              <w:rPr>
                <w:rFonts w:ascii="宋体" w:hAnsi="宋体" w:eastAsia="宋体"/>
                <w:szCs w:val="21"/>
              </w:rPr>
            </w:pPr>
            <w:r>
              <w:rPr>
                <w:rFonts w:hint="eastAsia" w:ascii="微软雅黑" w:hAnsi="微软雅黑" w:eastAsia="微软雅黑" w:cs="微软雅黑"/>
                <w:szCs w:val="21"/>
              </w:rPr>
              <w:t>★</w:t>
            </w:r>
            <w:r>
              <w:rPr>
                <w:rFonts w:ascii="宋体" w:hAnsi="宋体" w:eastAsia="宋体"/>
                <w:szCs w:val="21"/>
              </w:rPr>
              <w:t>5</w:t>
            </w:r>
            <w:r>
              <w:rPr>
                <w:rFonts w:hint="eastAsia" w:ascii="宋体" w:hAnsi="宋体" w:eastAsia="宋体"/>
                <w:szCs w:val="21"/>
              </w:rPr>
              <w:t>.频率响应：130Hz-20kHz</w:t>
            </w:r>
          </w:p>
          <w:p w14:paraId="25EDF174">
            <w:pPr>
              <w:widowControl/>
              <w:rPr>
                <w:rFonts w:hint="eastAsia" w:ascii="宋体" w:hAnsi="宋体" w:eastAsia="宋体"/>
                <w:szCs w:val="21"/>
              </w:rPr>
            </w:pPr>
            <w:r>
              <w:rPr>
                <w:rFonts w:ascii="宋体" w:hAnsi="宋体" w:eastAsia="宋体"/>
                <w:szCs w:val="21"/>
              </w:rPr>
              <w:t>6</w:t>
            </w:r>
            <w:r>
              <w:rPr>
                <w:rFonts w:hint="eastAsia" w:ascii="宋体" w:hAnsi="宋体" w:eastAsia="宋体"/>
                <w:szCs w:val="21"/>
              </w:rPr>
              <w:t xml:space="preserve">.喇叭单元 ：6.5"×1，2.5"×1 </w:t>
            </w:r>
          </w:p>
          <w:p w14:paraId="715BEDB0">
            <w:pPr>
              <w:widowControl/>
              <w:rPr>
                <w:rFonts w:hint="eastAsia" w:cs="Arial" w:asciiTheme="minorEastAsia" w:hAnsiTheme="minorEastAsia"/>
                <w:color w:val="000000"/>
                <w:kern w:val="0"/>
                <w:szCs w:val="21"/>
              </w:rPr>
            </w:pPr>
            <w:r>
              <w:rPr>
                <w:rFonts w:hint="eastAsia" w:ascii="宋体" w:hAnsi="宋体" w:eastAsia="宋体" w:cs="宋体"/>
                <w:b/>
                <w:bCs/>
                <w:sz w:val="21"/>
                <w:szCs w:val="21"/>
                <w:lang w:val="en-US" w:eastAsia="zh-CN"/>
              </w:rPr>
              <w:t>报价时提供含标★参数的说明书或网站截图（含网址 ）复印件并加盖公章，原件备查，如提供材料不全或未提供则视为报价无效。</w:t>
            </w:r>
          </w:p>
        </w:tc>
        <w:tc>
          <w:tcPr>
            <w:tcW w:w="645" w:type="dxa"/>
            <w:shd w:val="clear" w:color="auto" w:fill="auto"/>
            <w:noWrap/>
          </w:tcPr>
          <w:p w14:paraId="1AB08FD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92</w:t>
            </w:r>
          </w:p>
        </w:tc>
        <w:tc>
          <w:tcPr>
            <w:tcW w:w="750" w:type="dxa"/>
            <w:gridSpan w:val="2"/>
            <w:shd w:val="clear" w:color="auto" w:fill="auto"/>
            <w:noWrap/>
          </w:tcPr>
          <w:p w14:paraId="2339F74B">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个</w:t>
            </w:r>
          </w:p>
        </w:tc>
      </w:tr>
      <w:tr w14:paraId="19D2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3EF930C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2</w:t>
            </w:r>
          </w:p>
        </w:tc>
        <w:tc>
          <w:tcPr>
            <w:tcW w:w="851" w:type="dxa"/>
            <w:shd w:val="clear" w:color="auto" w:fill="auto"/>
            <w:noWrap/>
          </w:tcPr>
          <w:p w14:paraId="1B673049">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网络适配器1</w:t>
            </w:r>
          </w:p>
        </w:tc>
        <w:tc>
          <w:tcPr>
            <w:tcW w:w="7251" w:type="dxa"/>
            <w:shd w:val="clear" w:color="auto" w:fill="auto"/>
            <w:noWrap/>
          </w:tcPr>
          <w:p w14:paraId="1BAB170C">
            <w:pPr>
              <w:jc w:val="left"/>
              <w:rPr>
                <w:rFonts w:hint="eastAsia" w:ascii="宋体" w:hAnsi="宋体" w:eastAsia="宋体"/>
                <w:szCs w:val="21"/>
                <w:lang w:eastAsia="zh-CN"/>
              </w:rPr>
            </w:pPr>
            <w:r>
              <w:rPr>
                <w:rFonts w:ascii="宋体" w:hAnsi="宋体" w:eastAsia="宋体"/>
                <w:szCs w:val="21"/>
              </w:rPr>
              <w:t>1.标准19英寸机架 ，黑色氧化铝拉丝面板</w:t>
            </w:r>
            <w:r>
              <w:rPr>
                <w:rFonts w:hint="eastAsia" w:ascii="宋体" w:hAnsi="宋体" w:eastAsia="宋体"/>
                <w:szCs w:val="21"/>
                <w:lang w:eastAsia="zh-CN"/>
              </w:rPr>
              <w:t>，</w:t>
            </w:r>
            <w:r>
              <w:rPr>
                <w:rFonts w:ascii="宋体" w:hAnsi="宋体" w:eastAsia="宋体"/>
                <w:szCs w:val="21"/>
              </w:rPr>
              <w:t>3.4英寸LCD显示屏，16个金属按键</w:t>
            </w:r>
            <w:r>
              <w:rPr>
                <w:rFonts w:hint="eastAsia" w:ascii="宋体" w:hAnsi="宋体" w:eastAsia="宋体"/>
                <w:szCs w:val="21"/>
                <w:lang w:eastAsia="zh-CN"/>
              </w:rPr>
              <w:t>。</w:t>
            </w:r>
          </w:p>
          <w:p w14:paraId="7610087A">
            <w:pPr>
              <w:jc w:val="left"/>
              <w:rPr>
                <w:rFonts w:hint="eastAsia" w:ascii="宋体" w:hAnsi="宋体" w:eastAsia="宋体"/>
                <w:szCs w:val="21"/>
                <w:lang w:eastAsia="zh-CN"/>
              </w:rPr>
            </w:pPr>
            <w:r>
              <w:rPr>
                <w:rFonts w:ascii="宋体" w:hAnsi="宋体" w:eastAsia="宋体"/>
                <w:szCs w:val="21"/>
              </w:rPr>
              <w:t>2.启动时间小于1s</w:t>
            </w:r>
            <w:r>
              <w:rPr>
                <w:rFonts w:hint="eastAsia" w:ascii="宋体" w:hAnsi="宋体" w:eastAsia="宋体"/>
                <w:szCs w:val="21"/>
                <w:lang w:eastAsia="zh-CN"/>
              </w:rPr>
              <w:t>。</w:t>
            </w:r>
          </w:p>
          <w:p w14:paraId="0B6C55AF">
            <w:pPr>
              <w:jc w:val="left"/>
              <w:rPr>
                <w:rFonts w:ascii="宋体" w:hAnsi="宋体" w:eastAsia="宋体"/>
                <w:szCs w:val="21"/>
              </w:rPr>
            </w:pPr>
            <w:r>
              <w:rPr>
                <w:rFonts w:hint="eastAsia" w:ascii="微软雅黑" w:hAnsi="微软雅黑" w:eastAsia="微软雅黑" w:cs="微软雅黑"/>
                <w:szCs w:val="21"/>
              </w:rPr>
              <w:t>★</w:t>
            </w:r>
            <w:r>
              <w:rPr>
                <w:rFonts w:hint="eastAsia" w:ascii="宋体" w:hAnsi="宋体" w:eastAsia="宋体"/>
                <w:szCs w:val="21"/>
                <w:lang w:val="en-US" w:eastAsia="zh-CN"/>
              </w:rPr>
              <w:t>3</w:t>
            </w:r>
            <w:r>
              <w:rPr>
                <w:rFonts w:ascii="宋体" w:hAnsi="宋体" w:eastAsia="宋体"/>
                <w:szCs w:val="21"/>
              </w:rPr>
              <w:t>.内置1路网络硬件音频解码模块，支持TCP/IP、UDP、IGMP(组播)协议，实现网络化传输16位CD音质的音频信号。</w:t>
            </w:r>
          </w:p>
          <w:p w14:paraId="02A6AFAA">
            <w:pPr>
              <w:jc w:val="left"/>
              <w:rPr>
                <w:rFonts w:ascii="宋体" w:hAnsi="宋体" w:eastAsia="宋体"/>
                <w:szCs w:val="21"/>
              </w:rPr>
            </w:pPr>
            <w:r>
              <w:rPr>
                <w:rFonts w:hint="eastAsia" w:ascii="微软雅黑" w:hAnsi="微软雅黑" w:eastAsia="微软雅黑" w:cs="微软雅黑"/>
                <w:szCs w:val="21"/>
              </w:rPr>
              <w:t>★</w:t>
            </w:r>
            <w:r>
              <w:rPr>
                <w:rFonts w:hint="eastAsia" w:ascii="宋体" w:hAnsi="宋体" w:eastAsia="宋体"/>
                <w:szCs w:val="21"/>
                <w:lang w:val="en-US" w:eastAsia="zh-CN"/>
              </w:rPr>
              <w:t>4</w:t>
            </w:r>
            <w:r>
              <w:rPr>
                <w:rFonts w:ascii="宋体" w:hAnsi="宋体" w:eastAsia="宋体"/>
                <w:szCs w:val="21"/>
              </w:rPr>
              <w:t>.支持DHCP，兼容路由器、交换机、网桥网关、Modem、Internet、2G、3G、4G、组播、单播等任意网络结构。</w:t>
            </w:r>
          </w:p>
          <w:p w14:paraId="4FC8BB6B">
            <w:pPr>
              <w:jc w:val="left"/>
              <w:rPr>
                <w:rFonts w:ascii="宋体" w:hAnsi="宋体" w:eastAsia="宋体"/>
                <w:szCs w:val="21"/>
              </w:rPr>
            </w:pPr>
            <w:r>
              <w:rPr>
                <w:rFonts w:hint="eastAsia" w:ascii="宋体" w:hAnsi="宋体" w:eastAsia="宋体"/>
                <w:szCs w:val="21"/>
                <w:lang w:val="en-US" w:eastAsia="zh-CN"/>
              </w:rPr>
              <w:t>5</w:t>
            </w:r>
            <w:r>
              <w:rPr>
                <w:rFonts w:ascii="宋体" w:hAnsi="宋体" w:eastAsia="宋体"/>
                <w:szCs w:val="21"/>
              </w:rPr>
              <w:t>.授权操作管理功能，支持服务器统一配置管理用户及密码。</w:t>
            </w:r>
          </w:p>
          <w:p w14:paraId="64A12716">
            <w:pPr>
              <w:jc w:val="left"/>
              <w:rPr>
                <w:rFonts w:ascii="宋体" w:hAnsi="宋体" w:eastAsia="宋体"/>
                <w:szCs w:val="21"/>
              </w:rPr>
            </w:pPr>
            <w:r>
              <w:rPr>
                <w:rFonts w:hint="eastAsia" w:ascii="宋体" w:hAnsi="宋体" w:eastAsia="宋体"/>
                <w:szCs w:val="21"/>
                <w:lang w:val="en-US" w:eastAsia="zh-CN"/>
              </w:rPr>
              <w:t>6</w:t>
            </w:r>
            <w:r>
              <w:rPr>
                <w:rFonts w:ascii="宋体" w:hAnsi="宋体" w:eastAsia="宋体"/>
                <w:szCs w:val="21"/>
              </w:rPr>
              <w:t>.具有独立的音量和高低音调节，并支持断网寻呼功能。</w:t>
            </w:r>
          </w:p>
          <w:p w14:paraId="6A120571">
            <w:pPr>
              <w:jc w:val="left"/>
              <w:rPr>
                <w:rFonts w:ascii="宋体" w:hAnsi="宋体" w:eastAsia="宋体"/>
                <w:szCs w:val="21"/>
              </w:rPr>
            </w:pPr>
            <w:r>
              <w:rPr>
                <w:rFonts w:hint="eastAsia" w:ascii="宋体" w:hAnsi="宋体" w:eastAsia="宋体"/>
                <w:szCs w:val="21"/>
                <w:lang w:val="en-US" w:eastAsia="zh-CN"/>
              </w:rPr>
              <w:t>7</w:t>
            </w:r>
            <w:r>
              <w:rPr>
                <w:rFonts w:ascii="宋体" w:hAnsi="宋体" w:eastAsia="宋体"/>
                <w:szCs w:val="21"/>
              </w:rPr>
              <w:t>.</w:t>
            </w:r>
            <w:r>
              <w:rPr>
                <w:rFonts w:hint="eastAsia" w:ascii="宋体" w:hAnsi="宋体" w:eastAsia="宋体"/>
                <w:szCs w:val="21"/>
              </w:rPr>
              <w:t>支持数字音频时光流逝的断点播放功能，确保广播同步效果</w:t>
            </w:r>
          </w:p>
          <w:p w14:paraId="10D21F81">
            <w:pPr>
              <w:jc w:val="left"/>
              <w:rPr>
                <w:rFonts w:ascii="宋体" w:hAnsi="宋体" w:eastAsia="宋体"/>
                <w:szCs w:val="21"/>
              </w:rPr>
            </w:pPr>
            <w:r>
              <w:rPr>
                <w:rFonts w:hint="eastAsia" w:ascii="宋体" w:hAnsi="宋体" w:eastAsia="宋体"/>
                <w:szCs w:val="21"/>
                <w:lang w:val="en-US" w:eastAsia="zh-CN"/>
              </w:rPr>
              <w:t>8</w:t>
            </w:r>
            <w:r>
              <w:rPr>
                <w:rFonts w:ascii="宋体" w:hAnsi="宋体" w:eastAsia="宋体"/>
                <w:szCs w:val="21"/>
              </w:rPr>
              <w:t>.4路音频信号输出接口，可同时外接4台功率放大器，工业级接线端子</w:t>
            </w:r>
          </w:p>
          <w:p w14:paraId="319044CB">
            <w:pPr>
              <w:jc w:val="left"/>
              <w:rPr>
                <w:rFonts w:ascii="宋体" w:hAnsi="宋体" w:eastAsia="宋体"/>
                <w:szCs w:val="21"/>
              </w:rPr>
            </w:pPr>
            <w:r>
              <w:rPr>
                <w:rFonts w:hint="eastAsia" w:ascii="宋体" w:hAnsi="宋体" w:eastAsia="宋体"/>
                <w:szCs w:val="21"/>
                <w:lang w:val="en-US" w:eastAsia="zh-CN"/>
              </w:rPr>
              <w:t>9</w:t>
            </w:r>
            <w:r>
              <w:rPr>
                <w:rFonts w:ascii="宋体" w:hAnsi="宋体" w:eastAsia="宋体"/>
                <w:szCs w:val="21"/>
              </w:rPr>
              <w:t>.内置4 x 500W大功率智能电源输出接口，无音乐或呼叫时，自动切断级联功放电源，进入待机状态，且具有编程打开输出电源功能。</w:t>
            </w:r>
          </w:p>
          <w:p w14:paraId="704A4876">
            <w:pPr>
              <w:jc w:val="left"/>
              <w:rPr>
                <w:rFonts w:hint="eastAsia" w:ascii="宋体" w:hAnsi="宋体" w:eastAsia="宋体"/>
                <w:szCs w:val="21"/>
                <w:lang w:eastAsia="zh-CN"/>
              </w:rPr>
            </w:pPr>
            <w:r>
              <w:rPr>
                <w:rFonts w:hint="eastAsia" w:ascii="微软雅黑" w:hAnsi="微软雅黑" w:eastAsia="微软雅黑" w:cs="微软雅黑"/>
                <w:szCs w:val="21"/>
              </w:rPr>
              <w:t>★</w:t>
            </w:r>
            <w:r>
              <w:rPr>
                <w:rFonts w:hint="eastAsia" w:ascii="宋体" w:hAnsi="宋体" w:eastAsia="宋体"/>
                <w:szCs w:val="21"/>
                <w:lang w:val="en-US" w:eastAsia="zh-CN"/>
              </w:rPr>
              <w:t>10</w:t>
            </w:r>
            <w:r>
              <w:rPr>
                <w:rFonts w:ascii="宋体" w:hAnsi="宋体" w:eastAsia="宋体"/>
                <w:szCs w:val="21"/>
              </w:rPr>
              <w:t>.</w:t>
            </w:r>
            <w:r>
              <w:rPr>
                <w:rFonts w:hint="eastAsia" w:ascii="宋体" w:hAnsi="宋体" w:eastAsia="宋体"/>
                <w:szCs w:val="21"/>
              </w:rPr>
              <w:t>内嵌数字化</w:t>
            </w:r>
            <w:r>
              <w:rPr>
                <w:rFonts w:ascii="宋体" w:hAnsi="宋体" w:eastAsia="宋体"/>
                <w:szCs w:val="21"/>
              </w:rPr>
              <w:t>IP网络终端软件</w:t>
            </w:r>
            <w:r>
              <w:rPr>
                <w:rFonts w:hint="eastAsia" w:ascii="宋体" w:hAnsi="宋体" w:eastAsia="宋体"/>
                <w:szCs w:val="21"/>
                <w:lang w:eastAsia="zh-CN"/>
              </w:rPr>
              <w:t>。</w:t>
            </w:r>
          </w:p>
          <w:p w14:paraId="0BBB1705">
            <w:pPr>
              <w:jc w:val="left"/>
              <w:rPr>
                <w:rFonts w:hint="eastAsia" w:ascii="宋体" w:hAnsi="宋体" w:eastAsia="宋体"/>
                <w:szCs w:val="21"/>
                <w:lang w:eastAsia="zh-CN"/>
              </w:rPr>
            </w:pPr>
            <w:r>
              <w:rPr>
                <w:rFonts w:hint="eastAsia" w:ascii="宋体" w:hAnsi="宋体" w:eastAsia="宋体"/>
                <w:szCs w:val="21"/>
                <w:lang w:val="en-US" w:eastAsia="zh-CN"/>
              </w:rPr>
              <w:t>11</w:t>
            </w:r>
            <w:r>
              <w:rPr>
                <w:rFonts w:ascii="宋体" w:hAnsi="宋体" w:eastAsia="宋体"/>
                <w:szCs w:val="21"/>
              </w:rPr>
              <w:t>.</w:t>
            </w:r>
            <w:r>
              <w:rPr>
                <w:rFonts w:hint="eastAsia" w:ascii="宋体" w:hAnsi="宋体" w:eastAsia="宋体"/>
                <w:szCs w:val="21"/>
              </w:rPr>
              <w:t>支持</w:t>
            </w:r>
            <w:r>
              <w:rPr>
                <w:rFonts w:ascii="宋体" w:hAnsi="宋体" w:eastAsia="宋体"/>
                <w:szCs w:val="21"/>
              </w:rPr>
              <w:t>PSTN电话广播，支持短信语音广播</w:t>
            </w:r>
            <w:r>
              <w:rPr>
                <w:rFonts w:hint="eastAsia" w:ascii="宋体" w:hAnsi="宋体" w:eastAsia="宋体"/>
                <w:szCs w:val="21"/>
              </w:rPr>
              <w:t>，支持播放背景音乐功能，支持单独调节音量</w:t>
            </w:r>
            <w:r>
              <w:rPr>
                <w:rFonts w:hint="eastAsia" w:ascii="宋体" w:hAnsi="宋体" w:eastAsia="宋体"/>
                <w:szCs w:val="21"/>
                <w:lang w:eastAsia="zh-CN"/>
              </w:rPr>
              <w:t>。</w:t>
            </w:r>
          </w:p>
          <w:p w14:paraId="11B298B6">
            <w:pPr>
              <w:jc w:val="left"/>
              <w:rPr>
                <w:rFonts w:ascii="宋体" w:hAnsi="宋体" w:eastAsia="宋体"/>
                <w:szCs w:val="21"/>
              </w:rPr>
            </w:pPr>
            <w:r>
              <w:rPr>
                <w:rFonts w:ascii="宋体" w:hAnsi="宋体" w:eastAsia="宋体"/>
                <w:szCs w:val="21"/>
              </w:rPr>
              <w:t>1</w:t>
            </w:r>
            <w:r>
              <w:rPr>
                <w:rFonts w:hint="eastAsia" w:ascii="宋体" w:hAnsi="宋体" w:eastAsia="宋体"/>
                <w:szCs w:val="21"/>
                <w:lang w:val="en-US" w:eastAsia="zh-CN"/>
              </w:rPr>
              <w:t>2</w:t>
            </w:r>
            <w:r>
              <w:rPr>
                <w:rFonts w:ascii="宋体" w:hAnsi="宋体" w:eastAsia="宋体"/>
                <w:szCs w:val="21"/>
              </w:rPr>
              <w:t>.信噪比：＞70dB</w:t>
            </w:r>
          </w:p>
          <w:p w14:paraId="645209A1">
            <w:pPr>
              <w:widowControl/>
              <w:rPr>
                <w:rFonts w:hint="default" w:ascii="宋体" w:hAnsi="宋体" w:eastAsia="宋体"/>
                <w:szCs w:val="21"/>
                <w:lang w:val="en-US" w:eastAsia="zh-CN"/>
              </w:rPr>
            </w:pPr>
            <w:r>
              <w:rPr>
                <w:rFonts w:ascii="宋体" w:hAnsi="宋体" w:eastAsia="宋体"/>
                <w:szCs w:val="21"/>
              </w:rPr>
              <w:t>1</w:t>
            </w:r>
            <w:r>
              <w:rPr>
                <w:rFonts w:hint="eastAsia" w:ascii="宋体" w:hAnsi="宋体" w:eastAsia="宋体"/>
                <w:szCs w:val="21"/>
                <w:lang w:val="en-US" w:eastAsia="zh-CN"/>
              </w:rPr>
              <w:t>3</w:t>
            </w:r>
            <w:r>
              <w:rPr>
                <w:rFonts w:ascii="宋体" w:hAnsi="宋体" w:eastAsia="宋体"/>
                <w:szCs w:val="21"/>
              </w:rPr>
              <w:t>.支持接入原系统</w:t>
            </w:r>
            <w:r>
              <w:rPr>
                <w:rFonts w:hint="eastAsia" w:ascii="宋体" w:hAnsi="宋体" w:eastAsia="宋体"/>
                <w:szCs w:val="21"/>
                <w:lang w:eastAsia="zh-CN"/>
              </w:rPr>
              <w:t>（</w:t>
            </w:r>
            <w:r>
              <w:rPr>
                <w:rFonts w:hint="eastAsia" w:ascii="宋体" w:hAnsi="宋体" w:eastAsia="宋体"/>
                <w:szCs w:val="21"/>
                <w:lang w:val="en-US" w:eastAsia="zh-CN"/>
              </w:rPr>
              <w:t>原</w:t>
            </w:r>
            <w:r>
              <w:rPr>
                <w:rFonts w:hint="eastAsia"/>
              </w:rPr>
              <w:t>控制系</w:t>
            </w:r>
            <w:r>
              <w:rPr>
                <w:rFonts w:hint="eastAsia"/>
                <w:u w:val="none"/>
              </w:rPr>
              <w:t>统ITC全数字IP网络广播系统控制中心</w:t>
            </w:r>
            <w:r>
              <w:rPr>
                <w:rFonts w:hint="eastAsia" w:ascii="宋体" w:hAnsi="宋体" w:eastAsia="宋体"/>
                <w:szCs w:val="21"/>
                <w:lang w:eastAsia="zh-CN"/>
              </w:rPr>
              <w:t>）</w:t>
            </w:r>
            <w:r>
              <w:rPr>
                <w:rFonts w:ascii="宋体" w:hAnsi="宋体" w:eastAsia="宋体"/>
                <w:szCs w:val="21"/>
              </w:rPr>
              <w:t>，与旧系统兼容，可同步播放或单独播放音源</w:t>
            </w:r>
            <w:r>
              <w:rPr>
                <w:rFonts w:hint="eastAsia" w:ascii="宋体" w:hAnsi="宋体" w:eastAsia="宋体"/>
                <w:szCs w:val="21"/>
                <w:lang w:eastAsia="zh-CN"/>
              </w:rPr>
              <w:t>，</w:t>
            </w:r>
            <w:r>
              <w:rPr>
                <w:rFonts w:hint="eastAsia" w:ascii="宋体" w:hAnsi="宋体" w:eastAsia="宋体"/>
                <w:szCs w:val="21"/>
                <w:lang w:val="en-US" w:eastAsia="zh-CN"/>
              </w:rPr>
              <w:t>用于官塘校区。</w:t>
            </w:r>
          </w:p>
          <w:p w14:paraId="1EFF4435">
            <w:pPr>
              <w:widowControl/>
              <w:rPr>
                <w:rFonts w:hint="default" w:cs="Arial" w:asciiTheme="minorEastAsia" w:hAnsiTheme="minorEastAsia"/>
                <w:color w:val="000000"/>
                <w:kern w:val="0"/>
                <w:szCs w:val="21"/>
                <w:lang w:val="en-US" w:eastAsia="zh-CN"/>
              </w:rPr>
            </w:pPr>
            <w:r>
              <w:rPr>
                <w:rFonts w:hint="eastAsia" w:ascii="宋体" w:hAnsi="宋体" w:eastAsia="宋体" w:cs="宋体"/>
                <w:b/>
                <w:bCs/>
                <w:sz w:val="21"/>
                <w:szCs w:val="21"/>
                <w:lang w:val="en-US" w:eastAsia="zh-CN"/>
              </w:rPr>
              <w:t>报价时提供含标★参数的说明书或网站截图（含网址 ）复印件并加盖公章，原件备查，如提供材料不全或未提供则视为报价无效。</w:t>
            </w:r>
          </w:p>
        </w:tc>
        <w:tc>
          <w:tcPr>
            <w:tcW w:w="645" w:type="dxa"/>
            <w:shd w:val="clear" w:color="auto" w:fill="auto"/>
            <w:noWrap/>
          </w:tcPr>
          <w:p w14:paraId="2B387EE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3</w:t>
            </w:r>
          </w:p>
        </w:tc>
        <w:tc>
          <w:tcPr>
            <w:tcW w:w="750" w:type="dxa"/>
            <w:gridSpan w:val="2"/>
            <w:shd w:val="clear" w:color="auto" w:fill="auto"/>
            <w:noWrap/>
          </w:tcPr>
          <w:p w14:paraId="05C553F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台</w:t>
            </w:r>
          </w:p>
        </w:tc>
      </w:tr>
      <w:tr w14:paraId="12B8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0B71A05C">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3</w:t>
            </w:r>
          </w:p>
        </w:tc>
        <w:tc>
          <w:tcPr>
            <w:tcW w:w="851" w:type="dxa"/>
            <w:shd w:val="clear" w:color="auto" w:fill="auto"/>
            <w:noWrap/>
          </w:tcPr>
          <w:p w14:paraId="57EC7F70">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网络适配器2</w:t>
            </w:r>
          </w:p>
        </w:tc>
        <w:tc>
          <w:tcPr>
            <w:tcW w:w="7251" w:type="dxa"/>
            <w:shd w:val="clear" w:color="auto" w:fill="auto"/>
            <w:noWrap/>
          </w:tcPr>
          <w:p w14:paraId="4DD1B4B6">
            <w:pPr>
              <w:numPr>
                <w:ilvl w:val="0"/>
                <w:numId w:val="2"/>
              </w:numPr>
              <w:jc w:val="left"/>
              <w:rPr>
                <w:rFonts w:hint="eastAsia" w:ascii="宋体" w:hAnsi="宋体" w:eastAsia="宋体"/>
                <w:szCs w:val="21"/>
                <w:lang w:eastAsia="zh-CN"/>
              </w:rPr>
            </w:pPr>
            <w:r>
              <w:rPr>
                <w:rFonts w:ascii="宋体" w:hAnsi="宋体" w:eastAsia="宋体"/>
                <w:szCs w:val="21"/>
              </w:rPr>
              <w:t>标准19英寸机架设计，黑色氧化铝拉丝面板</w:t>
            </w:r>
            <w:r>
              <w:rPr>
                <w:rFonts w:hint="eastAsia" w:ascii="宋体" w:hAnsi="宋体" w:eastAsia="宋体"/>
                <w:szCs w:val="21"/>
                <w:lang w:eastAsia="zh-CN"/>
              </w:rPr>
              <w:t>，</w:t>
            </w:r>
            <w:r>
              <w:rPr>
                <w:rFonts w:ascii="宋体" w:hAnsi="宋体" w:eastAsia="宋体"/>
                <w:szCs w:val="21"/>
              </w:rPr>
              <w:t>LCD显示屏</w:t>
            </w:r>
            <w:r>
              <w:rPr>
                <w:rFonts w:hint="eastAsia" w:ascii="宋体" w:hAnsi="宋体" w:eastAsia="宋体"/>
                <w:szCs w:val="21"/>
                <w:lang w:eastAsia="zh-CN"/>
              </w:rPr>
              <w:t>：</w:t>
            </w:r>
            <w:r>
              <w:rPr>
                <w:rFonts w:ascii="宋体" w:hAnsi="宋体" w:eastAsia="宋体"/>
                <w:szCs w:val="21"/>
              </w:rPr>
              <w:t>3.4英寸，16个金属按键</w:t>
            </w:r>
            <w:r>
              <w:rPr>
                <w:rFonts w:hint="eastAsia" w:ascii="宋体" w:hAnsi="宋体" w:eastAsia="宋体"/>
                <w:szCs w:val="21"/>
                <w:lang w:eastAsia="zh-CN"/>
              </w:rPr>
              <w:t>。</w:t>
            </w:r>
          </w:p>
          <w:p w14:paraId="15BA3ACE">
            <w:pPr>
              <w:jc w:val="left"/>
              <w:rPr>
                <w:rFonts w:ascii="宋体" w:hAnsi="宋体" w:eastAsia="宋体"/>
                <w:szCs w:val="21"/>
              </w:rPr>
            </w:pPr>
            <w:r>
              <w:rPr>
                <w:rFonts w:hint="eastAsia" w:ascii="宋体" w:hAnsi="宋体" w:eastAsia="宋体"/>
                <w:szCs w:val="21"/>
                <w:lang w:val="en-US" w:eastAsia="zh-CN"/>
              </w:rPr>
              <w:t>2</w:t>
            </w:r>
            <w:r>
              <w:rPr>
                <w:rFonts w:ascii="宋体" w:hAnsi="宋体" w:eastAsia="宋体"/>
                <w:szCs w:val="21"/>
              </w:rPr>
              <w:t>.启动时间小于1s。</w:t>
            </w:r>
          </w:p>
          <w:p w14:paraId="0637F6CD">
            <w:pPr>
              <w:jc w:val="left"/>
              <w:rPr>
                <w:rFonts w:ascii="宋体" w:hAnsi="宋体" w:eastAsia="宋体"/>
                <w:szCs w:val="21"/>
              </w:rPr>
            </w:pPr>
            <w:r>
              <w:rPr>
                <w:rFonts w:hint="eastAsia" w:ascii="微软雅黑" w:hAnsi="微软雅黑" w:eastAsia="微软雅黑" w:cs="微软雅黑"/>
                <w:szCs w:val="21"/>
              </w:rPr>
              <w:t>★</w:t>
            </w:r>
            <w:r>
              <w:rPr>
                <w:rFonts w:hint="eastAsia" w:ascii="宋体" w:hAnsi="宋体" w:eastAsia="宋体"/>
                <w:szCs w:val="21"/>
                <w:lang w:val="en-US" w:eastAsia="zh-CN"/>
              </w:rPr>
              <w:t>3</w:t>
            </w:r>
            <w:r>
              <w:rPr>
                <w:rFonts w:ascii="宋体" w:hAnsi="宋体" w:eastAsia="宋体"/>
                <w:szCs w:val="21"/>
              </w:rPr>
              <w:t>.内置1路网络硬件音频解码模块，支持TCP/IP、UDP、IGMP(组播)协议，实现网络化传输16位CD音质的音频信号。</w:t>
            </w:r>
          </w:p>
          <w:p w14:paraId="17B53E74">
            <w:pPr>
              <w:jc w:val="left"/>
              <w:rPr>
                <w:rFonts w:ascii="宋体" w:hAnsi="宋体" w:eastAsia="宋体"/>
                <w:szCs w:val="21"/>
              </w:rPr>
            </w:pPr>
            <w:r>
              <w:rPr>
                <w:rFonts w:hint="eastAsia" w:ascii="宋体" w:hAnsi="宋体" w:eastAsia="宋体"/>
                <w:szCs w:val="21"/>
                <w:lang w:val="en-US" w:eastAsia="zh-CN"/>
              </w:rPr>
              <w:t>4</w:t>
            </w:r>
            <w:r>
              <w:rPr>
                <w:rFonts w:ascii="宋体" w:hAnsi="宋体" w:eastAsia="宋体"/>
                <w:szCs w:val="21"/>
              </w:rPr>
              <w:t>.1路线路（AUX）和1路话筒（MIC）输入接口，具有独立的音量和高低音调节，并支持断网寻呼功能。</w:t>
            </w:r>
          </w:p>
          <w:p w14:paraId="188843E0">
            <w:pPr>
              <w:jc w:val="left"/>
              <w:rPr>
                <w:rFonts w:ascii="宋体" w:hAnsi="宋体" w:eastAsia="宋体"/>
                <w:szCs w:val="21"/>
              </w:rPr>
            </w:pPr>
            <w:r>
              <w:rPr>
                <w:rFonts w:hint="eastAsia" w:ascii="微软雅黑" w:hAnsi="微软雅黑" w:eastAsia="微软雅黑" w:cs="微软雅黑"/>
                <w:szCs w:val="21"/>
              </w:rPr>
              <w:t>★</w:t>
            </w:r>
            <w:r>
              <w:rPr>
                <w:rFonts w:hint="eastAsia" w:ascii="宋体" w:hAnsi="宋体" w:eastAsia="宋体"/>
                <w:szCs w:val="21"/>
                <w:lang w:val="en-US" w:eastAsia="zh-CN"/>
              </w:rPr>
              <w:t>5</w:t>
            </w:r>
            <w:r>
              <w:rPr>
                <w:rFonts w:ascii="宋体" w:hAnsi="宋体" w:eastAsia="宋体"/>
                <w:szCs w:val="21"/>
              </w:rPr>
              <w:t>.支持DHCP，兼容路由器、交换机、网桥网关、Modem、Internet、2G、3G、4G、组播、单播等任意网络结构。</w:t>
            </w:r>
          </w:p>
          <w:p w14:paraId="1701D274">
            <w:pPr>
              <w:jc w:val="left"/>
              <w:rPr>
                <w:rFonts w:ascii="宋体" w:hAnsi="宋体" w:eastAsia="宋体"/>
                <w:szCs w:val="21"/>
              </w:rPr>
            </w:pPr>
            <w:r>
              <w:rPr>
                <w:rFonts w:hint="eastAsia" w:ascii="宋体" w:hAnsi="宋体" w:eastAsia="宋体"/>
                <w:szCs w:val="21"/>
                <w:lang w:val="en-US" w:eastAsia="zh-CN"/>
              </w:rPr>
              <w:t>6</w:t>
            </w:r>
            <w:r>
              <w:rPr>
                <w:rFonts w:ascii="宋体" w:hAnsi="宋体" w:eastAsia="宋体"/>
                <w:szCs w:val="21"/>
              </w:rPr>
              <w:t>.授权操作管理功能，支持服务器统一配置管理用户及密码。</w:t>
            </w:r>
          </w:p>
          <w:p w14:paraId="054B1D2B">
            <w:pPr>
              <w:jc w:val="left"/>
              <w:rPr>
                <w:rFonts w:ascii="宋体" w:hAnsi="宋体" w:eastAsia="宋体"/>
                <w:szCs w:val="21"/>
              </w:rPr>
            </w:pPr>
            <w:r>
              <w:rPr>
                <w:rFonts w:hint="eastAsia" w:ascii="宋体" w:hAnsi="宋体" w:eastAsia="宋体"/>
                <w:szCs w:val="21"/>
                <w:lang w:val="en-US" w:eastAsia="zh-CN"/>
              </w:rPr>
              <w:t>7</w:t>
            </w:r>
            <w:r>
              <w:rPr>
                <w:rFonts w:ascii="宋体" w:hAnsi="宋体" w:eastAsia="宋体"/>
                <w:szCs w:val="21"/>
              </w:rPr>
              <w:t>.支持ESD保护，内置网络隔离防雷处理电路。</w:t>
            </w:r>
          </w:p>
          <w:p w14:paraId="2A00151F">
            <w:pPr>
              <w:jc w:val="left"/>
              <w:rPr>
                <w:rFonts w:hint="eastAsia" w:ascii="宋体" w:hAnsi="宋体" w:eastAsia="宋体"/>
                <w:szCs w:val="21"/>
                <w:lang w:eastAsia="zh-CN"/>
              </w:rPr>
            </w:pPr>
            <w:r>
              <w:rPr>
                <w:rFonts w:hint="eastAsia" w:ascii="微软雅黑" w:hAnsi="微软雅黑" w:eastAsia="微软雅黑" w:cs="微软雅黑"/>
                <w:szCs w:val="21"/>
              </w:rPr>
              <w:t>★</w:t>
            </w:r>
            <w:r>
              <w:rPr>
                <w:rFonts w:hint="eastAsia" w:ascii="宋体" w:hAnsi="宋体" w:eastAsia="宋体"/>
                <w:szCs w:val="21"/>
                <w:lang w:val="en-US" w:eastAsia="zh-CN"/>
              </w:rPr>
              <w:t>8</w:t>
            </w:r>
            <w:r>
              <w:rPr>
                <w:rFonts w:ascii="宋体" w:hAnsi="宋体" w:eastAsia="宋体"/>
                <w:szCs w:val="21"/>
              </w:rPr>
              <w:t>.</w:t>
            </w:r>
            <w:r>
              <w:rPr>
                <w:rFonts w:hint="eastAsia" w:ascii="宋体" w:hAnsi="宋体" w:eastAsia="宋体"/>
                <w:szCs w:val="21"/>
              </w:rPr>
              <w:t>内嵌数字化</w:t>
            </w:r>
            <w:r>
              <w:rPr>
                <w:rFonts w:ascii="宋体" w:hAnsi="宋体" w:eastAsia="宋体"/>
                <w:szCs w:val="21"/>
              </w:rPr>
              <w:t>IP网络终端软件</w:t>
            </w:r>
            <w:r>
              <w:rPr>
                <w:rFonts w:hint="eastAsia" w:ascii="宋体" w:hAnsi="宋体" w:eastAsia="宋体"/>
                <w:szCs w:val="21"/>
                <w:lang w:eastAsia="zh-CN"/>
              </w:rPr>
              <w:t>。</w:t>
            </w:r>
          </w:p>
          <w:p w14:paraId="597FD19F">
            <w:pPr>
              <w:jc w:val="left"/>
              <w:rPr>
                <w:rFonts w:hint="eastAsia" w:ascii="宋体" w:hAnsi="宋体" w:eastAsia="宋体"/>
                <w:szCs w:val="21"/>
                <w:lang w:eastAsia="zh-CN"/>
              </w:rPr>
            </w:pPr>
            <w:r>
              <w:rPr>
                <w:rFonts w:hint="eastAsia" w:ascii="宋体" w:hAnsi="宋体" w:eastAsia="宋体"/>
                <w:szCs w:val="21"/>
                <w:lang w:val="en-US" w:eastAsia="zh-CN"/>
              </w:rPr>
              <w:t>9</w:t>
            </w:r>
            <w:r>
              <w:rPr>
                <w:rFonts w:ascii="宋体" w:hAnsi="宋体" w:eastAsia="宋体"/>
                <w:szCs w:val="21"/>
              </w:rPr>
              <w:t>.支持播放背景音乐功能，支持单独调节音量</w:t>
            </w:r>
            <w:r>
              <w:rPr>
                <w:rFonts w:hint="eastAsia" w:ascii="宋体" w:hAnsi="宋体" w:eastAsia="宋体"/>
                <w:szCs w:val="21"/>
              </w:rPr>
              <w:t>，支持远程点播功能，支持节目播放</w:t>
            </w:r>
            <w:r>
              <w:rPr>
                <w:rFonts w:hint="eastAsia" w:ascii="宋体" w:hAnsi="宋体" w:eastAsia="宋体"/>
                <w:szCs w:val="21"/>
                <w:lang w:eastAsia="zh-CN"/>
              </w:rPr>
              <w:t>。</w:t>
            </w:r>
          </w:p>
          <w:p w14:paraId="354BCA3A">
            <w:pPr>
              <w:jc w:val="left"/>
              <w:rPr>
                <w:rFonts w:ascii="宋体" w:hAnsi="宋体" w:eastAsia="宋体"/>
                <w:szCs w:val="21"/>
              </w:rPr>
            </w:pPr>
            <w:r>
              <w:rPr>
                <w:rFonts w:hint="eastAsia" w:ascii="宋体" w:hAnsi="宋体" w:eastAsia="宋体"/>
                <w:szCs w:val="21"/>
                <w:lang w:val="en-US" w:eastAsia="zh-CN"/>
              </w:rPr>
              <w:t>10</w:t>
            </w:r>
            <w:r>
              <w:rPr>
                <w:rFonts w:ascii="宋体" w:hAnsi="宋体" w:eastAsia="宋体"/>
                <w:szCs w:val="21"/>
              </w:rPr>
              <w:t>.支持播放本地服务器的MP3文件；支持单独播放或分区/全区播放。</w:t>
            </w:r>
          </w:p>
          <w:p w14:paraId="1888402B">
            <w:pPr>
              <w:jc w:val="left"/>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lang w:val="en-US" w:eastAsia="zh-CN"/>
              </w:rPr>
              <w:t>1</w:t>
            </w:r>
            <w:r>
              <w:rPr>
                <w:rFonts w:ascii="宋体" w:hAnsi="宋体" w:eastAsia="宋体"/>
                <w:szCs w:val="21"/>
              </w:rPr>
              <w:t>. 信噪比：＞65dB</w:t>
            </w:r>
            <w:r>
              <w:rPr>
                <w:rFonts w:hint="eastAsia" w:ascii="宋体" w:hAnsi="宋体" w:eastAsia="宋体"/>
                <w:szCs w:val="21"/>
                <w:lang w:eastAsia="zh-CN"/>
              </w:rPr>
              <w:t>。</w:t>
            </w:r>
          </w:p>
          <w:p w14:paraId="30632CD1">
            <w:pPr>
              <w:jc w:val="left"/>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lang w:val="en-US" w:eastAsia="zh-CN"/>
              </w:rPr>
              <w:t>2</w:t>
            </w:r>
            <w:r>
              <w:rPr>
                <w:rFonts w:ascii="宋体" w:hAnsi="宋体" w:eastAsia="宋体"/>
                <w:szCs w:val="21"/>
              </w:rPr>
              <w:t xml:space="preserve">. </w:t>
            </w:r>
            <w:r>
              <w:rPr>
                <w:rFonts w:hint="eastAsia" w:ascii="宋体" w:hAnsi="宋体" w:eastAsia="宋体"/>
                <w:szCs w:val="21"/>
              </w:rPr>
              <w:t>内置模拟功放，≥</w:t>
            </w:r>
            <w:r>
              <w:rPr>
                <w:rFonts w:ascii="宋体" w:hAnsi="宋体" w:eastAsia="宋体"/>
                <w:szCs w:val="21"/>
              </w:rPr>
              <w:t>240W定阻4~16Ω输出、70V/100V定压输出</w:t>
            </w:r>
            <w:r>
              <w:rPr>
                <w:rFonts w:hint="eastAsia" w:ascii="宋体" w:hAnsi="宋体" w:eastAsia="宋体"/>
                <w:szCs w:val="21"/>
                <w:lang w:eastAsia="zh-CN"/>
              </w:rPr>
              <w:t>，</w:t>
            </w:r>
            <w:r>
              <w:rPr>
                <w:rFonts w:hint="eastAsia" w:ascii="宋体" w:hAnsi="宋体" w:eastAsia="宋体"/>
                <w:szCs w:val="21"/>
              </w:rPr>
              <w:t>支持状态灯显示，包括电平指示、保护指示、待机指示等</w:t>
            </w:r>
            <w:r>
              <w:rPr>
                <w:rFonts w:hint="eastAsia" w:ascii="宋体" w:hAnsi="宋体" w:eastAsia="宋体"/>
                <w:szCs w:val="21"/>
                <w:lang w:eastAsia="zh-CN"/>
              </w:rPr>
              <w:t>。</w:t>
            </w:r>
          </w:p>
          <w:p w14:paraId="2F2528D2">
            <w:pPr>
              <w:widowControl/>
              <w:rPr>
                <w:rFonts w:hint="eastAsia" w:cs="Arial" w:asciiTheme="minorEastAsia" w:hAnsiTheme="minorEastAsia"/>
                <w:color w:val="000000"/>
                <w:kern w:val="0"/>
                <w:szCs w:val="21"/>
              </w:rPr>
            </w:pPr>
            <w:r>
              <w:rPr>
                <w:rFonts w:ascii="宋体" w:hAnsi="宋体" w:eastAsia="宋体"/>
                <w:szCs w:val="21"/>
              </w:rPr>
              <w:t>1</w:t>
            </w:r>
            <w:r>
              <w:rPr>
                <w:rFonts w:hint="eastAsia" w:ascii="宋体" w:hAnsi="宋体" w:eastAsia="宋体"/>
                <w:szCs w:val="21"/>
                <w:lang w:val="en-US" w:eastAsia="zh-CN"/>
              </w:rPr>
              <w:t>3</w:t>
            </w:r>
            <w:r>
              <w:rPr>
                <w:rFonts w:ascii="宋体" w:hAnsi="宋体" w:eastAsia="宋体"/>
                <w:szCs w:val="21"/>
              </w:rPr>
              <w:t>.支持接入原系统</w:t>
            </w:r>
            <w:r>
              <w:rPr>
                <w:rFonts w:hint="eastAsia" w:ascii="宋体" w:hAnsi="宋体" w:eastAsia="宋体"/>
                <w:szCs w:val="21"/>
                <w:lang w:eastAsia="zh-CN"/>
              </w:rPr>
              <w:t>（</w:t>
            </w:r>
            <w:r>
              <w:rPr>
                <w:rFonts w:hint="eastAsia" w:ascii="宋体" w:hAnsi="宋体" w:eastAsia="宋体"/>
                <w:szCs w:val="21"/>
                <w:lang w:val="en-US" w:eastAsia="zh-CN"/>
              </w:rPr>
              <w:t>原</w:t>
            </w:r>
            <w:r>
              <w:rPr>
                <w:rFonts w:hint="eastAsia"/>
              </w:rPr>
              <w:t>控制系统</w:t>
            </w:r>
            <w:r>
              <w:rPr>
                <w:rFonts w:hint="eastAsia"/>
                <w:u w:val="none"/>
              </w:rPr>
              <w:t>ITC全数字IP网络广播系统控制中心</w:t>
            </w:r>
            <w:r>
              <w:rPr>
                <w:rFonts w:hint="eastAsia" w:ascii="宋体" w:hAnsi="宋体" w:eastAsia="宋体"/>
                <w:szCs w:val="21"/>
                <w:lang w:eastAsia="zh-CN"/>
              </w:rPr>
              <w:t>）</w:t>
            </w:r>
            <w:r>
              <w:rPr>
                <w:rFonts w:ascii="宋体" w:hAnsi="宋体" w:eastAsia="宋体"/>
                <w:szCs w:val="21"/>
              </w:rPr>
              <w:t>，与</w:t>
            </w:r>
            <w:r>
              <w:rPr>
                <w:rFonts w:hint="eastAsia" w:ascii="宋体" w:hAnsi="宋体" w:eastAsia="宋体"/>
                <w:szCs w:val="21"/>
                <w:lang w:val="en-US" w:eastAsia="zh-CN"/>
              </w:rPr>
              <w:t>原</w:t>
            </w:r>
            <w:r>
              <w:rPr>
                <w:rFonts w:ascii="宋体" w:hAnsi="宋体" w:eastAsia="宋体"/>
                <w:szCs w:val="21"/>
              </w:rPr>
              <w:t>系统兼容，可同步播放或单独播放音源</w:t>
            </w:r>
            <w:r>
              <w:rPr>
                <w:rFonts w:hint="eastAsia" w:ascii="宋体" w:hAnsi="宋体" w:eastAsia="宋体"/>
                <w:szCs w:val="21"/>
                <w:lang w:val="en-US" w:eastAsia="zh-CN"/>
              </w:rPr>
              <w:t>用于社湾校区。</w:t>
            </w:r>
          </w:p>
          <w:p w14:paraId="33288CFA">
            <w:pPr>
              <w:widowControl/>
              <w:rPr>
                <w:rFonts w:hint="eastAsia" w:cs="Arial" w:asciiTheme="minorEastAsia" w:hAnsiTheme="minorEastAsia"/>
                <w:color w:val="000000"/>
                <w:kern w:val="0"/>
                <w:szCs w:val="21"/>
              </w:rPr>
            </w:pPr>
            <w:r>
              <w:rPr>
                <w:rFonts w:hint="eastAsia" w:ascii="宋体" w:hAnsi="宋体" w:eastAsia="宋体" w:cs="宋体"/>
                <w:b/>
                <w:bCs/>
                <w:sz w:val="21"/>
                <w:szCs w:val="21"/>
                <w:lang w:val="en-US" w:eastAsia="zh-CN"/>
              </w:rPr>
              <w:t>报价时提供含标★参数的说明书或网站截图（含网址 ）复印件并加盖公章，原件备查，如提供材料不全或未提供则视为报价无效。</w:t>
            </w:r>
          </w:p>
        </w:tc>
        <w:tc>
          <w:tcPr>
            <w:tcW w:w="645" w:type="dxa"/>
            <w:shd w:val="clear" w:color="auto" w:fill="auto"/>
            <w:noWrap/>
          </w:tcPr>
          <w:p w14:paraId="1D32F002">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4</w:t>
            </w:r>
          </w:p>
        </w:tc>
        <w:tc>
          <w:tcPr>
            <w:tcW w:w="750" w:type="dxa"/>
            <w:gridSpan w:val="2"/>
            <w:shd w:val="clear" w:color="auto" w:fill="auto"/>
            <w:noWrap/>
          </w:tcPr>
          <w:p w14:paraId="43E5D49E">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台</w:t>
            </w:r>
          </w:p>
        </w:tc>
      </w:tr>
      <w:tr w14:paraId="750D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16" w:type="dxa"/>
          </w:tcPr>
          <w:p w14:paraId="5E2EB00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4</w:t>
            </w:r>
          </w:p>
        </w:tc>
        <w:tc>
          <w:tcPr>
            <w:tcW w:w="851" w:type="dxa"/>
            <w:shd w:val="clear" w:color="auto" w:fill="auto"/>
            <w:noWrap/>
          </w:tcPr>
          <w:p w14:paraId="31AAC75B">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8口交换机</w:t>
            </w:r>
          </w:p>
        </w:tc>
        <w:tc>
          <w:tcPr>
            <w:tcW w:w="7251" w:type="dxa"/>
            <w:shd w:val="clear" w:color="auto" w:fill="auto"/>
            <w:noWrap/>
          </w:tcPr>
          <w:p w14:paraId="0ACFA9EA">
            <w:pPr>
              <w:widowControl/>
              <w:rPr>
                <w:rFonts w:cs="Arial" w:asciiTheme="minorEastAsia" w:hAnsiTheme="minorEastAsia"/>
                <w:color w:val="000000"/>
                <w:kern w:val="0"/>
                <w:szCs w:val="21"/>
              </w:rPr>
            </w:pPr>
            <w:r>
              <w:rPr>
                <w:rFonts w:hint="eastAsia" w:asciiTheme="minorEastAsia" w:hAnsiTheme="minorEastAsia"/>
                <w:color w:val="auto"/>
                <w:szCs w:val="21"/>
                <w:shd w:val="clear" w:color="auto" w:fill="FFFFFF"/>
              </w:rPr>
              <w:t>8个10/100/1000BASE-T以太网端口，交换容量1</w:t>
            </w:r>
            <w:r>
              <w:rPr>
                <w:rFonts w:asciiTheme="minorEastAsia" w:hAnsiTheme="minorEastAsia"/>
                <w:color w:val="auto"/>
                <w:szCs w:val="21"/>
                <w:shd w:val="clear" w:color="auto" w:fill="FFFFFF"/>
              </w:rPr>
              <w:t>6Gbps</w:t>
            </w:r>
            <w:r>
              <w:rPr>
                <w:rFonts w:hint="eastAsia" w:asciiTheme="minorEastAsia" w:hAnsiTheme="minorEastAsia"/>
                <w:color w:val="auto"/>
                <w:szCs w:val="21"/>
                <w:shd w:val="clear" w:color="auto" w:fill="FFFFFF"/>
              </w:rPr>
              <w:t>，包转发率1</w:t>
            </w:r>
            <w:r>
              <w:rPr>
                <w:rFonts w:asciiTheme="minorEastAsia" w:hAnsiTheme="minorEastAsia"/>
                <w:color w:val="auto"/>
                <w:szCs w:val="21"/>
                <w:shd w:val="clear" w:color="auto" w:fill="FFFFFF"/>
              </w:rPr>
              <w:t>1.90M</w:t>
            </w:r>
            <w:r>
              <w:rPr>
                <w:rFonts w:hint="eastAsia" w:asciiTheme="minorEastAsia" w:hAnsiTheme="minorEastAsia"/>
                <w:color w:val="auto"/>
                <w:szCs w:val="21"/>
                <w:shd w:val="clear" w:color="auto" w:fill="FFFFFF"/>
              </w:rPr>
              <w:t>pps，4</w:t>
            </w:r>
            <w:r>
              <w:rPr>
                <w:rFonts w:asciiTheme="minorEastAsia" w:hAnsiTheme="minorEastAsia"/>
                <w:color w:val="auto"/>
                <w:szCs w:val="21"/>
                <w:shd w:val="clear" w:color="auto" w:fill="FFFFFF"/>
              </w:rPr>
              <w:t>K MAC</w:t>
            </w:r>
            <w:r>
              <w:rPr>
                <w:rFonts w:hint="eastAsia" w:asciiTheme="minorEastAsia" w:hAnsiTheme="minorEastAsia"/>
                <w:color w:val="auto"/>
                <w:szCs w:val="21"/>
                <w:shd w:val="clear" w:color="auto" w:fill="FFFFFF"/>
              </w:rPr>
              <w:t>，最大功耗7</w:t>
            </w:r>
            <w:r>
              <w:rPr>
                <w:rFonts w:asciiTheme="minorEastAsia" w:hAnsiTheme="minorEastAsia"/>
                <w:color w:val="auto"/>
                <w:szCs w:val="21"/>
                <w:shd w:val="clear" w:color="auto" w:fill="FFFFFF"/>
              </w:rPr>
              <w:t>W</w:t>
            </w:r>
            <w:r>
              <w:rPr>
                <w:rFonts w:hint="eastAsia" w:asciiTheme="minorEastAsia" w:hAnsiTheme="minorEastAsia"/>
                <w:color w:val="auto"/>
                <w:szCs w:val="21"/>
                <w:shd w:val="clear" w:color="auto" w:fill="FFFFFF"/>
              </w:rPr>
              <w:t>，重量</w:t>
            </w:r>
            <w:r>
              <w:rPr>
                <w:rFonts w:hint="eastAsia" w:cs="Arial" w:asciiTheme="minorEastAsia" w:hAnsiTheme="minorEastAsia"/>
                <w:color w:val="auto"/>
                <w:kern w:val="0"/>
                <w:szCs w:val="21"/>
              </w:rPr>
              <w:t>≥</w:t>
            </w:r>
            <w:r>
              <w:rPr>
                <w:rFonts w:hint="eastAsia" w:asciiTheme="minorEastAsia" w:hAnsiTheme="minorEastAsia"/>
                <w:color w:val="auto"/>
                <w:szCs w:val="21"/>
                <w:shd w:val="clear" w:color="auto" w:fill="FFFFFF"/>
              </w:rPr>
              <w:t>0</w:t>
            </w:r>
            <w:r>
              <w:rPr>
                <w:rFonts w:asciiTheme="minorEastAsia" w:hAnsiTheme="minorEastAsia"/>
                <w:color w:val="auto"/>
                <w:szCs w:val="21"/>
                <w:shd w:val="clear" w:color="auto" w:fill="FFFFFF"/>
              </w:rPr>
              <w:t>.25</w:t>
            </w:r>
            <w:r>
              <w:rPr>
                <w:rFonts w:hint="eastAsia" w:asciiTheme="minorEastAsia" w:hAnsiTheme="minorEastAsia"/>
                <w:color w:val="auto"/>
                <w:szCs w:val="21"/>
                <w:shd w:val="clear" w:color="auto" w:fill="FFFFFF"/>
              </w:rPr>
              <w:t>kg</w:t>
            </w:r>
          </w:p>
        </w:tc>
        <w:tc>
          <w:tcPr>
            <w:tcW w:w="645" w:type="dxa"/>
            <w:shd w:val="clear" w:color="auto" w:fill="auto"/>
            <w:noWrap/>
          </w:tcPr>
          <w:p w14:paraId="04EC5DE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8</w:t>
            </w:r>
          </w:p>
        </w:tc>
        <w:tc>
          <w:tcPr>
            <w:tcW w:w="750" w:type="dxa"/>
            <w:gridSpan w:val="2"/>
            <w:shd w:val="clear" w:color="auto" w:fill="auto"/>
            <w:noWrap/>
          </w:tcPr>
          <w:p w14:paraId="14F3E94A">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台</w:t>
            </w:r>
          </w:p>
        </w:tc>
      </w:tr>
      <w:tr w14:paraId="11CF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5830D4F3">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5</w:t>
            </w:r>
          </w:p>
        </w:tc>
        <w:tc>
          <w:tcPr>
            <w:tcW w:w="851" w:type="dxa"/>
            <w:shd w:val="clear" w:color="auto" w:fill="auto"/>
            <w:noWrap/>
          </w:tcPr>
          <w:p w14:paraId="1D1C8F52">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设备机柜</w:t>
            </w:r>
          </w:p>
        </w:tc>
        <w:tc>
          <w:tcPr>
            <w:tcW w:w="7251" w:type="dxa"/>
            <w:shd w:val="clear" w:color="auto" w:fill="auto"/>
            <w:noWrap/>
          </w:tcPr>
          <w:p w14:paraId="6E20F194">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尺寸：≥宽6</w:t>
            </w:r>
            <w:r>
              <w:rPr>
                <w:rFonts w:cs="Arial" w:asciiTheme="minorEastAsia" w:hAnsiTheme="minorEastAsia"/>
                <w:color w:val="000000"/>
                <w:kern w:val="0"/>
                <w:szCs w:val="21"/>
              </w:rPr>
              <w:t>00</w:t>
            </w:r>
            <w:r>
              <w:rPr>
                <w:rFonts w:hint="eastAsia" w:cs="Arial" w:asciiTheme="minorEastAsia" w:hAnsiTheme="minorEastAsia"/>
                <w:color w:val="000000"/>
                <w:kern w:val="0"/>
                <w:szCs w:val="21"/>
              </w:rPr>
              <w:t>mm深5</w:t>
            </w:r>
            <w:r>
              <w:rPr>
                <w:rFonts w:cs="Arial" w:asciiTheme="minorEastAsia" w:hAnsiTheme="minorEastAsia"/>
                <w:color w:val="000000"/>
                <w:kern w:val="0"/>
                <w:szCs w:val="21"/>
              </w:rPr>
              <w:t>50</w:t>
            </w:r>
            <w:r>
              <w:rPr>
                <w:rFonts w:hint="eastAsia" w:cs="Arial" w:asciiTheme="minorEastAsia" w:hAnsiTheme="minorEastAsia"/>
                <w:color w:val="000000"/>
                <w:kern w:val="0"/>
                <w:szCs w:val="21"/>
              </w:rPr>
              <w:t>mm高</w:t>
            </w:r>
            <w:r>
              <w:rPr>
                <w:rFonts w:cs="Arial" w:asciiTheme="minorEastAsia" w:hAnsiTheme="minorEastAsia"/>
                <w:color w:val="000000"/>
                <w:kern w:val="0"/>
                <w:szCs w:val="21"/>
              </w:rPr>
              <w:t>600</w:t>
            </w:r>
            <w:r>
              <w:rPr>
                <w:rFonts w:hint="eastAsia" w:cs="Arial" w:asciiTheme="minorEastAsia" w:hAnsiTheme="minorEastAsia"/>
                <w:color w:val="000000"/>
                <w:kern w:val="0"/>
                <w:szCs w:val="21"/>
              </w:rPr>
              <w:t>mm，</w:t>
            </w:r>
            <w:r>
              <w:rPr>
                <w:rFonts w:hint="eastAsia" w:cs="Arial" w:asciiTheme="minorEastAsia" w:hAnsiTheme="minorEastAsia"/>
                <w:color w:val="000000"/>
                <w:kern w:val="0"/>
                <w:szCs w:val="21"/>
                <w:lang w:val="en-US" w:eastAsia="zh-CN"/>
              </w:rPr>
              <w:t>材质为铁板，</w:t>
            </w:r>
            <w:r>
              <w:rPr>
                <w:rFonts w:hint="eastAsia" w:cs="Arial" w:asciiTheme="minorEastAsia" w:hAnsiTheme="minorEastAsia"/>
                <w:color w:val="000000"/>
                <w:kern w:val="0"/>
                <w:szCs w:val="21"/>
              </w:rPr>
              <w:t>厚度1</w:t>
            </w:r>
            <w:r>
              <w:rPr>
                <w:rFonts w:cs="Arial" w:asciiTheme="minorEastAsia" w:hAnsiTheme="minorEastAsia"/>
                <w:color w:val="000000"/>
                <w:kern w:val="0"/>
                <w:szCs w:val="21"/>
              </w:rPr>
              <w:t>.0</w:t>
            </w:r>
            <w:r>
              <w:rPr>
                <w:rFonts w:hint="eastAsia" w:cs="Arial" w:asciiTheme="minorEastAsia" w:hAnsiTheme="minorEastAsia"/>
                <w:color w:val="000000"/>
                <w:kern w:val="0"/>
                <w:szCs w:val="21"/>
              </w:rPr>
              <w:t>mm，含插座</w:t>
            </w:r>
          </w:p>
        </w:tc>
        <w:tc>
          <w:tcPr>
            <w:tcW w:w="645" w:type="dxa"/>
            <w:shd w:val="clear" w:color="auto" w:fill="auto"/>
            <w:noWrap/>
          </w:tcPr>
          <w:p w14:paraId="0D6DA469">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8</w:t>
            </w:r>
          </w:p>
        </w:tc>
        <w:tc>
          <w:tcPr>
            <w:tcW w:w="750" w:type="dxa"/>
            <w:gridSpan w:val="2"/>
            <w:shd w:val="clear" w:color="auto" w:fill="auto"/>
            <w:noWrap/>
          </w:tcPr>
          <w:p w14:paraId="107FDE07">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个</w:t>
            </w:r>
          </w:p>
        </w:tc>
      </w:tr>
      <w:tr w14:paraId="38C8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1194978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6</w:t>
            </w:r>
          </w:p>
        </w:tc>
        <w:tc>
          <w:tcPr>
            <w:tcW w:w="851" w:type="dxa"/>
            <w:shd w:val="clear" w:color="auto" w:fill="auto"/>
            <w:noWrap/>
          </w:tcPr>
          <w:p w14:paraId="508189A8">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双绞线</w:t>
            </w:r>
          </w:p>
        </w:tc>
        <w:tc>
          <w:tcPr>
            <w:tcW w:w="7251" w:type="dxa"/>
            <w:shd w:val="clear" w:color="auto" w:fill="auto"/>
            <w:noWrap/>
          </w:tcPr>
          <w:p w14:paraId="5925F095">
            <w:pPr>
              <w:widowControl/>
              <w:rPr>
                <w:rFonts w:ascii="宋体" w:hAnsi="宋体" w:eastAsia="宋体" w:cs="Arial"/>
                <w:color w:val="000000"/>
                <w:kern w:val="0"/>
                <w:szCs w:val="21"/>
              </w:rPr>
            </w:pPr>
            <w:r>
              <w:rPr>
                <w:rFonts w:hint="eastAsia" w:ascii="宋体" w:hAnsi="宋体" w:eastAsia="宋体" w:cs="Arial"/>
                <w:color w:val="000000"/>
                <w:kern w:val="0"/>
                <w:szCs w:val="21"/>
              </w:rPr>
              <w:t>超五类非屏蔽网线，线长：≥305米/箱，线径≥0.5mm，阻然护套，最大传输带宽</w:t>
            </w:r>
            <w:r>
              <w:rPr>
                <w:rFonts w:ascii="宋体" w:hAnsi="宋体" w:eastAsia="宋体"/>
                <w:color w:val="333333"/>
                <w:szCs w:val="21"/>
                <w:shd w:val="clear" w:color="auto" w:fill="FFFFFF"/>
              </w:rPr>
              <w:t>1000Mb/s</w:t>
            </w:r>
          </w:p>
        </w:tc>
        <w:tc>
          <w:tcPr>
            <w:tcW w:w="645" w:type="dxa"/>
            <w:shd w:val="clear" w:color="auto" w:fill="auto"/>
            <w:noWrap/>
          </w:tcPr>
          <w:p w14:paraId="2480F3B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1</w:t>
            </w:r>
          </w:p>
        </w:tc>
        <w:tc>
          <w:tcPr>
            <w:tcW w:w="750" w:type="dxa"/>
            <w:gridSpan w:val="2"/>
            <w:shd w:val="clear" w:color="auto" w:fill="auto"/>
            <w:noWrap/>
          </w:tcPr>
          <w:p w14:paraId="017221A1">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箱</w:t>
            </w:r>
          </w:p>
        </w:tc>
      </w:tr>
      <w:tr w14:paraId="3170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16" w:type="dxa"/>
          </w:tcPr>
          <w:p w14:paraId="4A70E045">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7</w:t>
            </w:r>
          </w:p>
        </w:tc>
        <w:tc>
          <w:tcPr>
            <w:tcW w:w="851" w:type="dxa"/>
            <w:shd w:val="clear" w:color="auto" w:fill="auto"/>
            <w:noWrap/>
          </w:tcPr>
          <w:p w14:paraId="0EEE226E">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音箱线</w:t>
            </w:r>
          </w:p>
        </w:tc>
        <w:tc>
          <w:tcPr>
            <w:tcW w:w="7251" w:type="dxa"/>
            <w:shd w:val="clear" w:color="auto" w:fill="auto"/>
            <w:noWrap/>
          </w:tcPr>
          <w:p w14:paraId="73D8C6A6">
            <w:pPr>
              <w:widowControl/>
              <w:shd w:val="clear" w:color="auto" w:fill="F9FAFC"/>
              <w:spacing w:line="270" w:lineRule="atLeast"/>
              <w:jc w:val="left"/>
              <w:rPr>
                <w:rFonts w:ascii="宋体" w:hAnsi="宋体" w:eastAsia="宋体" w:cs="宋体"/>
                <w:color w:val="1A1A1A"/>
                <w:kern w:val="0"/>
                <w:szCs w:val="21"/>
              </w:rPr>
            </w:pPr>
            <w:r>
              <w:rPr>
                <w:rFonts w:hint="eastAsia" w:cs="Arial" w:asciiTheme="minorEastAsia" w:hAnsiTheme="minorEastAsia"/>
                <w:color w:val="000000"/>
                <w:kern w:val="0"/>
                <w:szCs w:val="21"/>
              </w:rPr>
              <w:t>线长：200米/卷，RVV2*1.5纯铜</w:t>
            </w:r>
            <w:r>
              <w:rPr>
                <w:rFonts w:hint="eastAsia" w:asciiTheme="minorEastAsia" w:hAnsiTheme="minorEastAsia"/>
                <w:color w:val="1A1A1A"/>
                <w:szCs w:val="21"/>
                <w:shd w:val="clear" w:color="auto" w:fill="FFFFFF"/>
              </w:rPr>
              <w:t>阻燃护套</w:t>
            </w:r>
            <w:r>
              <w:rPr>
                <w:rFonts w:hint="eastAsia" w:cs="Arial" w:asciiTheme="minorEastAsia" w:hAnsiTheme="minorEastAsia"/>
                <w:color w:val="000000"/>
                <w:kern w:val="0"/>
                <w:szCs w:val="21"/>
              </w:rPr>
              <w:t>软</w:t>
            </w:r>
            <w:r>
              <w:rPr>
                <w:rFonts w:hint="eastAsia" w:asciiTheme="minorEastAsia" w:hAnsiTheme="minorEastAsia"/>
                <w:color w:val="1A1A1A"/>
                <w:szCs w:val="21"/>
                <w:shd w:val="clear" w:color="auto" w:fill="FFFFFF"/>
              </w:rPr>
              <w:t>线，</w:t>
            </w:r>
            <w:r>
              <w:rPr>
                <w:rFonts w:hint="eastAsia" w:ascii="宋体" w:hAnsi="宋体" w:eastAsia="宋体" w:cs="宋体"/>
                <w:bCs/>
                <w:color w:val="1A1A1A"/>
                <w:kern w:val="0"/>
                <w:szCs w:val="21"/>
              </w:rPr>
              <w:t>电压：</w:t>
            </w:r>
            <w:r>
              <w:rPr>
                <w:rFonts w:hint="eastAsia" w:ascii="宋体" w:hAnsi="宋体" w:eastAsia="宋体" w:cs="宋体"/>
                <w:color w:val="1A1A1A"/>
                <w:kern w:val="0"/>
                <w:szCs w:val="21"/>
              </w:rPr>
              <w:t>300/500V</w:t>
            </w:r>
          </w:p>
        </w:tc>
        <w:tc>
          <w:tcPr>
            <w:tcW w:w="645" w:type="dxa"/>
            <w:shd w:val="clear" w:color="auto" w:fill="auto"/>
            <w:noWrap/>
          </w:tcPr>
          <w:p w14:paraId="108F6C77">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17</w:t>
            </w:r>
          </w:p>
        </w:tc>
        <w:tc>
          <w:tcPr>
            <w:tcW w:w="750" w:type="dxa"/>
            <w:gridSpan w:val="2"/>
            <w:shd w:val="clear" w:color="auto" w:fill="auto"/>
            <w:noWrap/>
          </w:tcPr>
          <w:p w14:paraId="0C3EF703">
            <w:pPr>
              <w:widowControl/>
              <w:rPr>
                <w:rFonts w:cs="Arial" w:asciiTheme="minorEastAsia" w:hAnsiTheme="minorEastAsia"/>
                <w:color w:val="000000"/>
                <w:kern w:val="0"/>
                <w:szCs w:val="21"/>
              </w:rPr>
            </w:pPr>
            <w:r>
              <w:rPr>
                <w:rFonts w:hint="eastAsia" w:cs="Arial" w:asciiTheme="minorEastAsia" w:hAnsiTheme="minorEastAsia"/>
                <w:color w:val="000000"/>
                <w:kern w:val="0"/>
                <w:szCs w:val="21"/>
              </w:rPr>
              <w:t>卷</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7" w:type="dxa"/>
          <w:trHeight w:val="2937"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2CEBA40">
            <w:pPr>
              <w:spacing w:line="360" w:lineRule="auto"/>
              <w:jc w:val="left"/>
            </w:pPr>
            <w:r>
              <w:rPr>
                <w:rFonts w:hint="eastAsia"/>
              </w:rPr>
              <w:t>1.供货时间：自合同签订之日起</w:t>
            </w:r>
            <w:r>
              <w:rPr>
                <w:rFonts w:hint="eastAsia"/>
                <w:b/>
                <w:bCs/>
                <w:u w:val="single"/>
              </w:rPr>
              <w:t xml:space="preserve"> </w:t>
            </w:r>
            <w:r>
              <w:rPr>
                <w:b/>
                <w:bCs/>
                <w:u w:val="single"/>
              </w:rPr>
              <w:t>50</w:t>
            </w:r>
            <w:r>
              <w:rPr>
                <w:rFonts w:hint="eastAsia"/>
                <w:b/>
                <w:bCs/>
                <w:u w:val="single"/>
              </w:rPr>
              <w:t xml:space="preserve"> 日内</w:t>
            </w:r>
            <w:r>
              <w:rPr>
                <w:rFonts w:hint="eastAsia"/>
              </w:rPr>
              <w:t>验收合格并交付使用。</w:t>
            </w:r>
          </w:p>
          <w:p w14:paraId="1A9BCFB4">
            <w:pPr>
              <w:spacing w:line="360" w:lineRule="auto"/>
              <w:jc w:val="left"/>
              <w:rPr>
                <w:rFonts w:cs="Times New Roman"/>
                <w:szCs w:val="21"/>
              </w:rPr>
            </w:pPr>
            <w:r>
              <w:rPr>
                <w:rFonts w:hint="eastAsia"/>
              </w:rPr>
              <w:t>质保期：自验收合格并交付使用之日起</w:t>
            </w:r>
            <w:r>
              <w:rPr>
                <w:rFonts w:hint="eastAsia"/>
                <w:b/>
                <w:bCs/>
                <w:u w:val="single"/>
              </w:rPr>
              <w:t xml:space="preserve"> </w:t>
            </w:r>
            <w:r>
              <w:rPr>
                <w:b/>
                <w:bCs/>
                <w:u w:val="single"/>
              </w:rPr>
              <w:t>1</w:t>
            </w:r>
            <w:r>
              <w:rPr>
                <w:rFonts w:hint="eastAsia"/>
                <w:b/>
                <w:bCs/>
                <w:u w:val="single"/>
              </w:rPr>
              <w:t xml:space="preserve"> 年</w:t>
            </w:r>
            <w:r>
              <w:rPr>
                <w:rFonts w:hint="eastAsia"/>
              </w:rPr>
              <w:t>。</w:t>
            </w:r>
          </w:p>
          <w:p w14:paraId="3EF726CB">
            <w:pPr>
              <w:pStyle w:val="7"/>
              <w:rPr>
                <w:rFonts w:cs="Times New Roman"/>
                <w:szCs w:val="21"/>
              </w:rPr>
            </w:pPr>
            <w:r>
              <w:rPr>
                <w:rFonts w:hint="eastAsia" w:cs="Times New Roman"/>
                <w:szCs w:val="21"/>
              </w:rPr>
              <w:t>2.</w:t>
            </w:r>
            <w:r>
              <w:rPr>
                <w:rFonts w:hint="eastAsia" w:cs="Times New Roman"/>
                <w:b/>
                <w:bCs/>
                <w:szCs w:val="21"/>
              </w:rPr>
              <w:t>技术支持和服务</w:t>
            </w:r>
            <w:r>
              <w:rPr>
                <w:rFonts w:hint="eastAsia" w:cs="Times New Roman"/>
                <w:szCs w:val="21"/>
              </w:rPr>
              <w:t>：</w:t>
            </w:r>
          </w:p>
          <w:p w14:paraId="194BDD33">
            <w:pPr>
              <w:pStyle w:val="7"/>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318799DA">
            <w:pPr>
              <w:pStyle w:val="7"/>
              <w:rPr>
                <w:rFonts w:cs="Times New Roman"/>
                <w:szCs w:val="21"/>
              </w:rPr>
            </w:pPr>
            <w:r>
              <w:rPr>
                <w:rFonts w:hint="eastAsia"/>
              </w:rPr>
              <w:t>按国家有关规定报价人承诺实行“三包”（包退、包换、包修）服务，其他售后服务按成交人提交的售后服务承诺书执行。</w:t>
            </w:r>
          </w:p>
          <w:p w14:paraId="583CB988">
            <w:pPr>
              <w:pStyle w:val="7"/>
              <w:rPr>
                <w:rFonts w:cs="Times New Roman"/>
                <w:b/>
                <w:bCs/>
                <w:szCs w:val="21"/>
              </w:rPr>
            </w:pPr>
            <w:r>
              <w:rPr>
                <w:rFonts w:hint="eastAsia" w:cs="Times New Roman"/>
                <w:b/>
                <w:bCs/>
                <w:szCs w:val="21"/>
              </w:rPr>
              <w:t>3.知识产权</w:t>
            </w:r>
          </w:p>
          <w:p w14:paraId="5A9DBEEB">
            <w:pPr>
              <w:pStyle w:val="7"/>
              <w:spacing w:line="360" w:lineRule="auto"/>
              <w:rPr>
                <w:rFonts w:cs="Times New Roman"/>
                <w:szCs w:val="21"/>
              </w:rPr>
            </w:pPr>
            <w:r>
              <w:rPr>
                <w:rFonts w:hint="eastAsia" w:cs="Times New Roman"/>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spacing w:line="360" w:lineRule="auto"/>
              <w:rPr>
                <w:rFonts w:cs="Times New Roman"/>
                <w:szCs w:val="21"/>
              </w:rPr>
            </w:pPr>
            <w:r>
              <w:rPr>
                <w:rFonts w:hint="eastAsia" w:cs="Times New Roman"/>
                <w:szCs w:val="21"/>
              </w:rPr>
              <w:t>报价人因未经授权而实施的商业性复制行为构成违约或侵权责任造成采购人损失的，由其承但相关责任并赔偿采购人经济损失。</w:t>
            </w:r>
          </w:p>
          <w:p w14:paraId="64C89C6B">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4.</w:t>
            </w:r>
            <w:r>
              <w:rPr>
                <w:rFonts w:ascii="Arial" w:hAnsi="Arial" w:eastAsia="宋体" w:cs="Arial"/>
                <w:b/>
                <w:bCs/>
                <w:kern w:val="0"/>
                <w:szCs w:val="21"/>
              </w:rPr>
              <w:t>付款</w:t>
            </w:r>
            <w:r>
              <w:rPr>
                <w:rFonts w:hint="eastAsia" w:ascii="Arial" w:hAnsi="Arial" w:eastAsia="宋体" w:cs="Arial"/>
                <w:b/>
                <w:bCs/>
                <w:kern w:val="0"/>
                <w:szCs w:val="21"/>
              </w:rPr>
              <w:t>要求</w:t>
            </w:r>
          </w:p>
          <w:p w14:paraId="5744B91E">
            <w:pPr>
              <w:widowControl/>
              <w:adjustRightInd w:val="0"/>
              <w:snapToGrid w:val="0"/>
              <w:spacing w:line="520" w:lineRule="exact"/>
              <w:jc w:val="left"/>
              <w:rPr>
                <w:rFonts w:ascii="Arial" w:hAnsi="Arial" w:eastAsia="宋体" w:cs="Arial"/>
                <w:kern w:val="0"/>
                <w:szCs w:val="21"/>
              </w:rPr>
            </w:pPr>
            <w:r>
              <w:rPr>
                <w:rFonts w:ascii="Arial" w:hAnsi="Arial" w:eastAsia="宋体" w:cs="Arial"/>
                <w:kern w:val="0"/>
                <w:szCs w:val="21"/>
              </w:rPr>
              <w:t>本项目无预付款，合同中所有货物全部安装调试完毕验收合格交付给</w:t>
            </w:r>
            <w:r>
              <w:rPr>
                <w:rFonts w:hint="eastAsia" w:ascii="Arial" w:hAnsi="Arial" w:eastAsia="宋体" w:cs="Arial"/>
                <w:kern w:val="0"/>
                <w:szCs w:val="21"/>
              </w:rPr>
              <w:t>采购人</w:t>
            </w:r>
            <w:r>
              <w:rPr>
                <w:rFonts w:ascii="Arial" w:hAnsi="Arial" w:eastAsia="宋体" w:cs="Arial"/>
                <w:kern w:val="0"/>
                <w:szCs w:val="21"/>
              </w:rPr>
              <w:t>使用后，被选中的</w:t>
            </w:r>
            <w:r>
              <w:rPr>
                <w:rFonts w:hint="eastAsia" w:ascii="Arial" w:hAnsi="Arial" w:eastAsia="宋体" w:cs="Arial"/>
                <w:kern w:val="0"/>
                <w:szCs w:val="21"/>
              </w:rPr>
              <w:t>报价</w:t>
            </w:r>
            <w:r>
              <w:rPr>
                <w:rFonts w:ascii="Arial" w:hAnsi="Arial" w:eastAsia="宋体" w:cs="Arial"/>
                <w:kern w:val="0"/>
                <w:szCs w:val="21"/>
              </w:rPr>
              <w:t>人开具</w:t>
            </w:r>
            <w:r>
              <w:rPr>
                <w:rFonts w:hint="eastAsia" w:ascii="Arial" w:hAnsi="Arial" w:eastAsia="宋体" w:cs="Arial"/>
                <w:kern w:val="0"/>
                <w:szCs w:val="21"/>
              </w:rPr>
              <w:t>全额增值税专用发票</w:t>
            </w:r>
            <w:r>
              <w:rPr>
                <w:rFonts w:ascii="Arial" w:hAnsi="Arial" w:eastAsia="宋体" w:cs="Arial"/>
                <w:kern w:val="0"/>
                <w:szCs w:val="21"/>
              </w:rPr>
              <w:t>给</w:t>
            </w:r>
            <w:r>
              <w:rPr>
                <w:rFonts w:hint="eastAsia" w:ascii="Arial" w:hAnsi="Arial" w:eastAsia="宋体" w:cs="Arial"/>
                <w:kern w:val="0"/>
                <w:szCs w:val="21"/>
              </w:rPr>
              <w:t>采购人</w:t>
            </w:r>
            <w:r>
              <w:rPr>
                <w:rFonts w:ascii="Arial" w:hAnsi="Arial" w:eastAsia="宋体" w:cs="Arial"/>
                <w:kern w:val="0"/>
                <w:szCs w:val="21"/>
              </w:rPr>
              <w:t>，</w:t>
            </w:r>
            <w:r>
              <w:rPr>
                <w:rFonts w:hint="eastAsia" w:ascii="Arial" w:hAnsi="Arial" w:eastAsia="宋体" w:cs="Arial"/>
                <w:kern w:val="0"/>
                <w:szCs w:val="21"/>
              </w:rPr>
              <w:t>采购人</w:t>
            </w:r>
            <w:r>
              <w:rPr>
                <w:rFonts w:ascii="Arial" w:hAnsi="Arial" w:eastAsia="宋体" w:cs="Arial"/>
                <w:kern w:val="0"/>
                <w:szCs w:val="21"/>
              </w:rPr>
              <w:t>收到发票后</w:t>
            </w:r>
            <w:r>
              <w:rPr>
                <w:rFonts w:hint="eastAsia" w:ascii="Arial" w:hAnsi="Arial" w:eastAsia="宋体" w:cs="Arial"/>
                <w:b/>
                <w:kern w:val="0"/>
                <w:szCs w:val="21"/>
                <w:u w:val="single"/>
              </w:rPr>
              <w:t xml:space="preserve"> 20 </w:t>
            </w:r>
            <w:r>
              <w:rPr>
                <w:rFonts w:hint="eastAsia" w:ascii="Arial" w:hAnsi="Arial" w:eastAsia="宋体" w:cs="Arial"/>
                <w:kern w:val="0"/>
                <w:szCs w:val="21"/>
              </w:rPr>
              <w:t>个工作日</w:t>
            </w:r>
            <w:r>
              <w:rPr>
                <w:rFonts w:ascii="Arial" w:hAnsi="Arial" w:eastAsia="宋体" w:cs="Arial"/>
                <w:kern w:val="0"/>
                <w:szCs w:val="21"/>
              </w:rPr>
              <w:t>内</w:t>
            </w:r>
            <w:r>
              <w:rPr>
                <w:rFonts w:hint="eastAsia" w:ascii="Arial" w:hAnsi="Arial" w:eastAsia="宋体" w:cs="Arial"/>
                <w:kern w:val="0"/>
                <w:szCs w:val="21"/>
              </w:rPr>
              <w:t>办理</w:t>
            </w:r>
            <w:r>
              <w:rPr>
                <w:rFonts w:ascii="Arial" w:hAnsi="Arial" w:eastAsia="宋体" w:cs="Arial"/>
                <w:kern w:val="0"/>
                <w:szCs w:val="21"/>
              </w:rPr>
              <w:t>支付手续</w:t>
            </w:r>
            <w:r>
              <w:rPr>
                <w:rFonts w:cs="Arial" w:asciiTheme="majorEastAsia" w:hAnsiTheme="majorEastAsia" w:eastAsiaTheme="majorEastAsia"/>
                <w:kern w:val="0"/>
                <w:szCs w:val="21"/>
              </w:rPr>
              <w:t>。</w:t>
            </w:r>
            <w:r>
              <w:rPr>
                <w:rFonts w:hint="eastAsia" w:cs="Arial" w:asciiTheme="majorEastAsia" w:hAnsiTheme="majorEastAsia" w:eastAsiaTheme="major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5.履约保证金</w:t>
            </w:r>
          </w:p>
          <w:p w14:paraId="13632D56">
            <w:pPr>
              <w:widowControl/>
              <w:adjustRightInd w:val="0"/>
              <w:snapToGrid w:val="0"/>
              <w:spacing w:line="520" w:lineRule="exact"/>
              <w:jc w:val="left"/>
              <w:rPr>
                <w:rFonts w:ascii="Arial" w:hAnsi="Arial" w:eastAsia="宋体" w:cs="Arial"/>
                <w:kern w:val="0"/>
                <w:szCs w:val="21"/>
              </w:rPr>
            </w:pPr>
            <w:r>
              <w:rPr>
                <w:rFonts w:hint="eastAsia" w:ascii="Arial" w:hAnsi="Arial" w:eastAsia="宋体" w:cs="Arial"/>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Cs/>
                <w:kern w:val="0"/>
                <w:szCs w:val="21"/>
              </w:rPr>
            </w:pPr>
            <w:r>
              <w:rPr>
                <w:rFonts w:hint="eastAsia" w:ascii="Arial" w:hAnsi="Arial" w:eastAsia="宋体" w:cs="Arial"/>
                <w:bCs/>
                <w:kern w:val="0"/>
                <w:szCs w:val="21"/>
              </w:rPr>
              <w:t>履约保证金账户：</w:t>
            </w:r>
          </w:p>
          <w:p w14:paraId="2DAC0F56">
            <w:pPr>
              <w:pStyle w:val="7"/>
              <w:spacing w:line="360" w:lineRule="auto"/>
              <w:rPr>
                <w:rFonts w:ascii="Arial" w:hAnsi="Arial" w:eastAsia="宋体" w:cs="Arial"/>
                <w:bCs/>
                <w:kern w:val="0"/>
                <w:szCs w:val="21"/>
              </w:rPr>
            </w:pPr>
            <w:r>
              <w:rPr>
                <w:rFonts w:hint="eastAsia" w:ascii="Arial" w:hAnsi="Arial" w:eastAsia="宋体" w:cs="Arial"/>
                <w:bCs/>
                <w:kern w:val="0"/>
                <w:szCs w:val="21"/>
              </w:rPr>
              <w:t>名  称：柳州职业技术大学</w:t>
            </w:r>
          </w:p>
          <w:p w14:paraId="16CD551E">
            <w:pPr>
              <w:pStyle w:val="7"/>
              <w:spacing w:line="360" w:lineRule="auto"/>
              <w:rPr>
                <w:rFonts w:ascii="Arial" w:hAnsi="Arial" w:eastAsia="宋体" w:cs="Arial"/>
                <w:bCs/>
                <w:kern w:val="0"/>
                <w:szCs w:val="21"/>
              </w:rPr>
            </w:pPr>
            <w:r>
              <w:rPr>
                <w:rFonts w:hint="eastAsia" w:ascii="Arial" w:hAnsi="Arial" w:eastAsia="宋体" w:cs="Arial"/>
                <w:bCs/>
                <w:kern w:val="0"/>
                <w:szCs w:val="21"/>
              </w:rPr>
              <w:t>开户行：交通银行西江支行</w:t>
            </w:r>
          </w:p>
          <w:p w14:paraId="45AA78BC">
            <w:pPr>
              <w:pStyle w:val="7"/>
              <w:spacing w:line="360" w:lineRule="auto"/>
              <w:rPr>
                <w:rFonts w:ascii="Arial" w:hAnsi="Arial" w:eastAsia="宋体" w:cs="Arial"/>
                <w:bCs/>
                <w:kern w:val="0"/>
                <w:szCs w:val="21"/>
              </w:rPr>
            </w:pPr>
            <w:r>
              <w:rPr>
                <w:rFonts w:hint="eastAsia" w:ascii="Arial" w:hAnsi="Arial" w:eastAsia="宋体" w:cs="Arial"/>
                <w:bCs/>
                <w:kern w:val="0"/>
                <w:szCs w:val="21"/>
              </w:rPr>
              <w:t>账  号：</w:t>
            </w:r>
            <w:r>
              <w:rPr>
                <w:rFonts w:ascii="Arial" w:hAnsi="Arial" w:eastAsia="宋体" w:cs="Arial"/>
                <w:bCs/>
                <w:kern w:val="0"/>
                <w:szCs w:val="21"/>
              </w:rPr>
              <w:t>452060600018120020185</w:t>
            </w:r>
          </w:p>
          <w:p w14:paraId="4D5F73AF">
            <w:pPr>
              <w:pStyle w:val="7"/>
              <w:spacing w:line="360" w:lineRule="auto"/>
              <w:rPr>
                <w:rFonts w:cs="Times New Roman"/>
                <w:szCs w:val="21"/>
              </w:rPr>
            </w:pPr>
            <w:r>
              <w:rPr>
                <w:rFonts w:hint="eastAsia" w:ascii="Arial" w:hAnsi="Arial" w:eastAsia="宋体" w:cs="Arial"/>
                <w:bCs/>
                <w:kern w:val="0"/>
                <w:szCs w:val="21"/>
              </w:rPr>
              <w:t>转账时注明：校铃广播系统升级改造采购</w:t>
            </w:r>
            <w:r>
              <w:rPr>
                <w:rFonts w:hint="eastAsia" w:ascii="Arial" w:hAnsi="Arial" w:eastAsia="宋体" w:cs="Arial"/>
                <w:bCs/>
                <w:kern w:val="0"/>
                <w:szCs w:val="21"/>
                <w:lang w:eastAsia="zh-CN"/>
              </w:rPr>
              <w:t>（</w:t>
            </w:r>
            <w:r>
              <w:rPr>
                <w:rFonts w:hint="eastAsia" w:ascii="Arial" w:hAnsi="Arial" w:eastAsia="宋体" w:cs="Arial"/>
                <w:bCs/>
                <w:kern w:val="0"/>
                <w:szCs w:val="21"/>
                <w:lang w:val="en-US" w:eastAsia="zh-CN"/>
              </w:rPr>
              <w:t>重</w:t>
            </w:r>
            <w:r>
              <w:rPr>
                <w:rFonts w:hint="eastAsia" w:ascii="Arial" w:hAnsi="Arial" w:eastAsia="宋体" w:cs="Arial"/>
                <w:bCs/>
                <w:kern w:val="0"/>
                <w:szCs w:val="21"/>
                <w:lang w:eastAsia="zh-CN"/>
              </w:rPr>
              <w:t>）</w:t>
            </w:r>
            <w:r>
              <w:rPr>
                <w:rFonts w:hint="eastAsia" w:ascii="Arial" w:hAnsi="Arial" w:eastAsia="宋体" w:cs="Arial"/>
                <w:bCs/>
                <w:kern w:val="0"/>
                <w:szCs w:val="21"/>
              </w:rPr>
              <w:t>项目，采购编号</w:t>
            </w:r>
            <w:r>
              <w:rPr>
                <w:rFonts w:hint="eastAsia" w:ascii="Arial" w:hAnsi="Arial" w:eastAsia="宋体" w:cs="Arial"/>
                <w:b w:val="0"/>
                <w:bCs/>
                <w:color w:val="auto"/>
                <w:kern w:val="0"/>
                <w:szCs w:val="21"/>
              </w:rPr>
              <w:t xml:space="preserve">LZPU2025- </w:t>
            </w:r>
            <w:r>
              <w:rPr>
                <w:rFonts w:hint="eastAsia" w:ascii="Arial" w:hAnsi="Arial" w:eastAsia="宋体" w:cs="Arial"/>
                <w:b w:val="0"/>
                <w:bCs/>
                <w:color w:val="auto"/>
                <w:kern w:val="0"/>
                <w:szCs w:val="21"/>
                <w:lang w:val="en-US" w:eastAsia="zh-CN"/>
              </w:rPr>
              <w:t>3</w:t>
            </w:r>
            <w:r>
              <w:rPr>
                <w:rFonts w:hint="eastAsia" w:ascii="Arial" w:hAnsi="Arial" w:eastAsia="宋体" w:cs="Arial"/>
                <w:bCs/>
                <w:color w:val="auto"/>
                <w:kern w:val="0"/>
                <w:szCs w:val="21"/>
                <w:lang w:val="en-US" w:eastAsia="zh-CN"/>
              </w:rPr>
              <w:t>7-2</w:t>
            </w:r>
            <w:r>
              <w:rPr>
                <w:rFonts w:hint="eastAsia" w:ascii="Arial" w:hAnsi="Arial" w:eastAsia="宋体" w:cs="Arial"/>
                <w:bCs/>
                <w:kern w:val="0"/>
                <w:szCs w:val="21"/>
              </w:rPr>
              <w:t>履约保证金</w:t>
            </w:r>
            <w:r>
              <w:rPr>
                <w:rFonts w:hint="eastAsia" w:ascii="Arial" w:hAnsi="Arial" w:eastAsia="宋体" w:cs="Arial"/>
                <w:kern w:val="0"/>
                <w:szCs w:val="21"/>
              </w:rPr>
              <w:t>电汇、转账的持银行回执复印件（非电汇、转账的出具其他保证金递交证明文件）、中标（成交）通知书（确认书）及合同到柳州职业技术大学签署合同。</w:t>
            </w:r>
          </w:p>
          <w:p w14:paraId="6E88D1BB">
            <w:pPr>
              <w:pStyle w:val="7"/>
              <w:rPr>
                <w:rFonts w:cs="Times New Roman"/>
                <w:b/>
                <w:bCs/>
                <w:szCs w:val="21"/>
              </w:rPr>
            </w:pPr>
            <w:r>
              <w:rPr>
                <w:rFonts w:hint="eastAsia" w:cs="Times New Roman"/>
                <w:b/>
                <w:bCs/>
                <w:szCs w:val="21"/>
              </w:rPr>
              <w:t>6.验收要求</w:t>
            </w:r>
          </w:p>
          <w:p w14:paraId="5CB4ACEA">
            <w:pPr>
              <w:pStyle w:val="7"/>
              <w:rPr>
                <w:rFonts w:cs="Times New Roman"/>
                <w:szCs w:val="21"/>
              </w:rPr>
            </w:pPr>
            <w:r>
              <w:rPr>
                <w:rFonts w:hint="eastAsia" w:cs="Times New Roman"/>
                <w:szCs w:val="21"/>
              </w:rPr>
              <w:t>（1）</w:t>
            </w:r>
            <w:r>
              <w:rPr>
                <w:rFonts w:hint="eastAsia" w:cs="Times New Roman"/>
                <w:b/>
                <w:bCs/>
                <w:szCs w:val="21"/>
              </w:rPr>
              <w:t>报价人提供的项目实施方案及售后服务承诺内容在合同实施阶段必须严格执行。报价人应认真对待方案和承诺内容，确保其真实性和可操作性，否则将承担相应的法律责任和违约后果。</w:t>
            </w:r>
            <w:r>
              <w:rPr>
                <w:rFonts w:hint="eastAsia" w:cs="Times New Roman"/>
                <w:szCs w:val="21"/>
              </w:rPr>
              <w:t>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cs="Times New Roman"/>
                <w:szCs w:val="21"/>
              </w:rPr>
            </w:pPr>
            <w:r>
              <w:rPr>
                <w:rFonts w:hint="eastAsia" w:cs="Times New Roman"/>
                <w:szCs w:val="21"/>
              </w:rPr>
              <w:t>（2）中标供应商须确保货物为原制造商制造（或原厂组装）的全新产品，，无侵权行为、表面无划损、无任何缺陷隐患，在中国境内可依常规安全合法使用。</w:t>
            </w:r>
          </w:p>
          <w:p w14:paraId="67A65037">
            <w:pPr>
              <w:pStyle w:val="7"/>
              <w:rPr>
                <w:rFonts w:cs="Times New Roman"/>
                <w:szCs w:val="21"/>
              </w:rPr>
            </w:pPr>
            <w:r>
              <w:rPr>
                <w:rFonts w:hint="eastAsia" w:cs="Times New Roman"/>
                <w:szCs w:val="21"/>
              </w:rPr>
              <w:t>（3）供货时中标供应商应将关键货物的用户手册、保修手册、有关单证资料及配备件等交付给采购人，使用操作及安全须知等重要资料应附有中文说明。</w:t>
            </w:r>
          </w:p>
          <w:p w14:paraId="71B062A1">
            <w:pPr>
              <w:pStyle w:val="7"/>
              <w:rPr>
                <w:rFonts w:cs="Times New Roman"/>
                <w:szCs w:val="21"/>
              </w:rPr>
            </w:pPr>
            <w:r>
              <w:rPr>
                <w:rFonts w:hint="eastAsia" w:cs="Times New Roman"/>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cs="Times New Roman"/>
                <w:szCs w:val="21"/>
              </w:rPr>
            </w:pPr>
            <w:r>
              <w:rPr>
                <w:rFonts w:hint="eastAsia" w:cs="Times New Roman"/>
                <w:szCs w:val="21"/>
              </w:rPr>
              <w:t>（5）中标供应商必须依照采购文件的要求和应标文件的承诺，将设备、系统安装并调试至正常运行的最佳状态，并完成采购人的人员培训方可申请采购人正式验收。</w:t>
            </w:r>
          </w:p>
          <w:p w14:paraId="53F20393">
            <w:pPr>
              <w:pStyle w:val="7"/>
              <w:rPr>
                <w:rFonts w:cs="Times New Roman"/>
                <w:szCs w:val="21"/>
              </w:rPr>
            </w:pPr>
            <w:r>
              <w:rPr>
                <w:rFonts w:hint="eastAsia" w:cs="Times New Roman"/>
                <w:szCs w:val="21"/>
              </w:rPr>
              <w:t>（6）采购人有权委托第三方进行履约验收，履约验收费用（含运行耗材、验收专家费等全部费用）由中标供应商支付。报价人在报价时自行考虑。</w:t>
            </w:r>
          </w:p>
          <w:p w14:paraId="06063033">
            <w:pPr>
              <w:widowControl/>
              <w:jc w:val="left"/>
              <w:rPr>
                <w:rFonts w:cs="Times New Roman"/>
                <w:szCs w:val="21"/>
              </w:rPr>
            </w:pPr>
            <w:r>
              <w:rPr>
                <w:rFonts w:hint="eastAsia" w:cs="Times New Roman"/>
                <w:szCs w:val="21"/>
              </w:rPr>
              <w:t>（7）如果验收时中标供应商所提供设备达不到采购项目的技术需求，在整改期限20日内中标供应商仍无法提供满足项目技术要求的设备，采购人可以终止项目，中标供应商须承担相应违约责任。</w:t>
            </w:r>
          </w:p>
          <w:p w14:paraId="73ED1B3A">
            <w:pPr>
              <w:widowControl/>
              <w:jc w:val="left"/>
              <w:rPr>
                <w:rFonts w:cs="Times New Roman"/>
                <w:szCs w:val="21"/>
              </w:rPr>
            </w:pPr>
          </w:p>
        </w:tc>
      </w:tr>
    </w:tbl>
    <w:p w14:paraId="521D3291">
      <w:pPr>
        <w:widowControl/>
        <w:adjustRightInd w:val="0"/>
        <w:snapToGrid w:val="0"/>
        <w:spacing w:line="520" w:lineRule="exact"/>
        <w:jc w:val="left"/>
        <w:rPr>
          <w:rFonts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7CB6D7B6">
      <w:pPr>
        <w:widowControl/>
        <w:adjustRightInd w:val="0"/>
        <w:snapToGrid w:val="0"/>
        <w:spacing w:line="520" w:lineRule="exact"/>
        <w:jc w:val="left"/>
        <w:rPr>
          <w:rFonts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83DDA09">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w:t>
      </w:r>
    </w:p>
    <w:p w14:paraId="65573B48">
      <w:pP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308189F8">
      <w:pPr>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2EA606DC">
      <w:pPr>
        <w:rPr>
          <w:rFonts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jc w:val="left"/>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3"/>
        </w:numPr>
        <w:rPr>
          <w:rFonts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3.报价为最终报价，须包含货物及货物运抵指定交货地点的运输、装卸费用、售后服务、税金、验收检验及其它所有费用的总和。报价超出采购预算金额的文件将被视为无效。</w:t>
      </w:r>
    </w:p>
    <w:p w14:paraId="0105B1C4">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sz w:val="24"/>
          <w:szCs w:val="24"/>
        </w:rPr>
        <w:t>正本一份、副本二份</w:t>
      </w:r>
      <w:r>
        <w:rPr>
          <w:rFonts w:hint="eastAsia" w:asciiTheme="majorEastAsia" w:hAnsiTheme="majorEastAsia" w:eastAsiaTheme="majorEastAsia" w:cstheme="majorEastAsia"/>
          <w:b w:val="0"/>
          <w:bCs w:val="0"/>
          <w:sz w:val="24"/>
          <w:szCs w:val="24"/>
          <w:lang w:eastAsia="zh-CN"/>
        </w:rPr>
        <w:t>。</w:t>
      </w:r>
    </w:p>
    <w:p w14:paraId="7286C781">
      <w:pPr>
        <w:widowControl/>
        <w:adjustRightInd w:val="0"/>
        <w:snapToGrid w:val="0"/>
        <w:spacing w:line="360" w:lineRule="auto"/>
        <w:jc w:val="left"/>
        <w:rPr>
          <w:rFonts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10E93A12">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w:t>
      </w:r>
      <w:bookmarkStart w:id="55" w:name="_GoBack"/>
      <w:bookmarkEnd w:id="55"/>
      <w:r>
        <w:rPr>
          <w:rFonts w:hint="eastAsia" w:asciiTheme="majorEastAsia" w:hAnsiTheme="majorEastAsia" w:eastAsiaTheme="majorEastAsia" w:cstheme="majorEastAsia"/>
          <w:sz w:val="24"/>
          <w:szCs w:val="24"/>
        </w:rPr>
        <w:t>正本”、“副本”字样，提供报价文件正、副本数量不足的将按无效响应处理。由于报价文件装订松散而造成的丢失或其他情况导致的不利后果由报价人自行承担。</w:t>
      </w:r>
    </w:p>
    <w:p w14:paraId="1AC31C6E">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9"/>
        <w:rPr>
          <w:rFonts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40C1A4F7">
      <w:pPr>
        <w:spacing w:line="480" w:lineRule="exact"/>
        <w:rPr>
          <w:rFonts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1</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20</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9</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4"/>
        </w:numPr>
        <w:adjustRightInd w:val="0"/>
        <w:snapToGrid w:val="0"/>
        <w:spacing w:line="520" w:lineRule="exact"/>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567E4AB4">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bidi="en-US"/>
        </w:rPr>
        <w:t xml:space="preserve">（1）技术及需求咨询联系人：杨老师 </w:t>
      </w:r>
      <w:r>
        <w:rPr>
          <w:rFonts w:hint="eastAsia" w:asciiTheme="majorEastAsia" w:hAnsiTheme="majorEastAsia" w:eastAsiaTheme="majorEastAsia" w:cstheme="majorEastAsia"/>
          <w:b/>
          <w:bCs/>
          <w:kern w:val="0"/>
          <w:sz w:val="24"/>
          <w:szCs w:val="28"/>
          <w:lang w:bidi="en-US"/>
        </w:rPr>
        <w:t xml:space="preserve">    </w:t>
      </w:r>
      <w:r>
        <w:rPr>
          <w:rFonts w:hint="eastAsia" w:asciiTheme="majorEastAsia" w:hAnsiTheme="majorEastAsia" w:eastAsiaTheme="majorEastAsia" w:cstheme="majorEastAsia"/>
          <w:b w:val="0"/>
          <w:bCs w:val="0"/>
          <w:kern w:val="0"/>
          <w:sz w:val="24"/>
          <w:szCs w:val="28"/>
          <w:lang w:bidi="en-US"/>
        </w:rPr>
        <w:t>联系电话：</w:t>
      </w:r>
      <w:r>
        <w:rPr>
          <w:rFonts w:hint="eastAsia" w:asciiTheme="majorEastAsia" w:hAnsiTheme="majorEastAsia" w:eastAsiaTheme="majorEastAsia" w:cstheme="majorEastAsia"/>
          <w:b w:val="0"/>
          <w:bCs w:val="0"/>
          <w:kern w:val="0"/>
          <w:sz w:val="24"/>
          <w:szCs w:val="28"/>
          <w:lang w:val="en-US" w:eastAsia="zh-CN" w:bidi="en-US"/>
        </w:rPr>
        <w:t>0772-3155087</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C265B17">
      <w:pPr>
        <w:widowControl/>
        <w:jc w:val="left"/>
        <w:rPr>
          <w:rFonts w:asciiTheme="majorEastAsia" w:hAnsiTheme="majorEastAsia" w:eastAsiaTheme="majorEastAsia" w:cstheme="majorEastAsia"/>
          <w:sz w:val="24"/>
          <w:szCs w:val="24"/>
        </w:rPr>
      </w:pPr>
    </w:p>
    <w:p w14:paraId="14AE9005">
      <w:pPr>
        <w:widowControl/>
        <w:ind w:firstLine="8794" w:firstLineChars="3650"/>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12</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089C544E">
      <w:pPr>
        <w:pStyle w:val="7"/>
      </w:pPr>
    </w:p>
    <w:p w14:paraId="34405F60">
      <w:pPr>
        <w:pStyle w:val="7"/>
      </w:pPr>
    </w:p>
    <w:p w14:paraId="307285D0">
      <w:pPr>
        <w:pStyle w:val="7"/>
      </w:pPr>
    </w:p>
    <w:p w14:paraId="61F710F2">
      <w:pPr>
        <w:pStyle w:val="7"/>
      </w:pPr>
    </w:p>
    <w:p w14:paraId="341E79B6">
      <w:pPr>
        <w:pStyle w:val="7"/>
      </w:pPr>
    </w:p>
    <w:p w14:paraId="578451A7">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107424598"/>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ascii="宋体" w:hAnsi="宋体" w:eastAsia="仿宋" w:cs="Times New Roman"/>
          <w:bCs/>
          <w:sz w:val="32"/>
          <w:szCs w:val="32"/>
          <w:u w:val="single"/>
        </w:rPr>
      </w:pPr>
    </w:p>
    <w:p w14:paraId="4A027DC1">
      <w:pPr>
        <w:snapToGrid w:val="0"/>
        <w:spacing w:line="276" w:lineRule="auto"/>
        <w:ind w:firstLine="640" w:firstLineChars="200"/>
        <w:jc w:val="left"/>
        <w:rPr>
          <w:rFonts w:ascii="宋体" w:hAnsi="宋体" w:eastAsia="仿宋" w:cs="Times New Roman"/>
          <w:bCs/>
          <w:sz w:val="32"/>
          <w:szCs w:val="32"/>
          <w:u w:val="single"/>
        </w:rPr>
      </w:pPr>
    </w:p>
    <w:p w14:paraId="5C9AC284">
      <w:pPr>
        <w:snapToGrid w:val="0"/>
        <w:spacing w:line="276" w:lineRule="auto"/>
        <w:ind w:firstLine="640" w:firstLineChars="200"/>
        <w:jc w:val="left"/>
        <w:rPr>
          <w:rFonts w:ascii="宋体" w:hAnsi="宋体" w:eastAsia="仿宋" w:cs="Times New Roman"/>
          <w:bCs/>
          <w:sz w:val="32"/>
          <w:szCs w:val="32"/>
          <w:u w:val="single"/>
        </w:rPr>
      </w:pPr>
    </w:p>
    <w:p w14:paraId="36425F6D">
      <w:pPr>
        <w:snapToGrid w:val="0"/>
        <w:spacing w:before="156" w:beforeLines="50" w:after="50"/>
        <w:ind w:firstLine="480" w:firstLineChars="15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D8AE5B0">
      <w:pPr>
        <w:pStyle w:val="7"/>
        <w:jc w:val="both"/>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ascii="仿宋" w:hAnsi="仿宋" w:eastAsia="仿宋" w:cs="仿宋"/>
          <w:b/>
          <w:sz w:val="32"/>
          <w:szCs w:val="32"/>
        </w:rPr>
      </w:pPr>
      <w:r>
        <w:rPr>
          <w:rFonts w:hint="eastAsia" w:ascii="仿宋" w:hAnsi="仿宋" w:eastAsia="仿宋" w:cs="仿宋"/>
          <w:b/>
          <w:sz w:val="32"/>
          <w:szCs w:val="32"/>
        </w:rPr>
        <w:t>1.资格证明文件封面（格式）：</w:t>
      </w:r>
    </w:p>
    <w:p w14:paraId="2EC4CF8F">
      <w:pPr>
        <w:snapToGrid w:val="0"/>
        <w:spacing w:before="156" w:beforeLines="50" w:after="50"/>
        <w:ind w:firstLine="8723" w:firstLineChars="2726"/>
        <w:rPr>
          <w:rFonts w:hAnsi="仿宋"/>
          <w:bCs/>
          <w:sz w:val="32"/>
          <w:szCs w:val="32"/>
        </w:rPr>
      </w:pPr>
      <w:r>
        <w:rPr>
          <w:rFonts w:hint="eastAsia" w:hAnsi="仿宋"/>
          <w:bCs/>
          <w:sz w:val="32"/>
          <w:szCs w:val="32"/>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40"/>
        <w:rPr>
          <w:rFonts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329354FF">
      <w:pPr>
        <w:pStyle w:val="7"/>
      </w:pPr>
    </w:p>
    <w:p w14:paraId="2A050828">
      <w:pPr>
        <w:pStyle w:val="7"/>
      </w:pPr>
    </w:p>
    <w:p w14:paraId="55197DAF">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5"/>
        </w:numPr>
        <w:jc w:val="left"/>
        <w:rPr>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254970729"/>
            <w:bookmarkStart w:id="6" w:name="_Toc254970588"/>
            <w:bookmarkStart w:id="7" w:name="_Toc405905876"/>
            <w:bookmarkStart w:id="8" w:name="_Toc173066401"/>
            <w:bookmarkStart w:id="9" w:name="_Toc171349578"/>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066404"/>
            <w:bookmarkStart w:id="12" w:name="_Toc254970732"/>
            <w:bookmarkStart w:id="13" w:name="_Toc171349581"/>
            <w:bookmarkStart w:id="14" w:name="_Toc254970591"/>
            <w:bookmarkStart w:id="15" w:name="_Toc173211903"/>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3066405"/>
            <w:bookmarkStart w:id="18" w:name="_Toc254970733"/>
            <w:bookmarkStart w:id="19" w:name="_Toc173211904"/>
            <w:bookmarkStart w:id="20" w:name="_Toc405905880"/>
            <w:bookmarkStart w:id="21" w:name="_Toc254970592"/>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254970734"/>
            <w:bookmarkStart w:id="26" w:name="_Toc173066406"/>
            <w:bookmarkStart w:id="27" w:name="_Toc171349584"/>
            <w:bookmarkStart w:id="28" w:name="_Toc405905882"/>
            <w:bookmarkStart w:id="29" w:name="_Toc173211905"/>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173066407"/>
            <w:bookmarkStart w:id="32" w:name="_Toc254970735"/>
            <w:bookmarkStart w:id="33" w:name="_Toc173211906"/>
            <w:bookmarkStart w:id="34" w:name="_Toc171349585"/>
            <w:bookmarkStart w:id="35" w:name="_Toc405905883"/>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254970736"/>
            <w:bookmarkStart w:id="38" w:name="_Toc173211907"/>
            <w:bookmarkStart w:id="39" w:name="_Toc405905884"/>
            <w:bookmarkStart w:id="40" w:name="_Toc171349586"/>
            <w:bookmarkStart w:id="41" w:name="_Toc173066408"/>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9128E"/>
    <w:multiLevelType w:val="singleLevel"/>
    <w:tmpl w:val="1519128E"/>
    <w:lvl w:ilvl="0" w:tentative="0">
      <w:start w:val="7"/>
      <w:numFmt w:val="decimal"/>
      <w:lvlText w:val="%1."/>
      <w:lvlJc w:val="left"/>
      <w:pPr>
        <w:tabs>
          <w:tab w:val="left" w:pos="312"/>
        </w:tabs>
      </w:p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594096E1"/>
    <w:multiLevelType w:val="singleLevel"/>
    <w:tmpl w:val="594096E1"/>
    <w:lvl w:ilvl="0" w:tentative="0">
      <w:start w:val="1"/>
      <w:numFmt w:val="decimal"/>
      <w:lvlText w:val="%1."/>
      <w:lvlJc w:val="left"/>
      <w:pPr>
        <w:tabs>
          <w:tab w:val="left" w:pos="312"/>
        </w:tabs>
      </w:p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67EBB"/>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0EE3"/>
    <w:rsid w:val="003A7361"/>
    <w:rsid w:val="003A778C"/>
    <w:rsid w:val="003B2D64"/>
    <w:rsid w:val="003B511D"/>
    <w:rsid w:val="003C27EA"/>
    <w:rsid w:val="003C656F"/>
    <w:rsid w:val="003C6AF5"/>
    <w:rsid w:val="003D1DB9"/>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188D"/>
    <w:rsid w:val="004F4853"/>
    <w:rsid w:val="00504B78"/>
    <w:rsid w:val="00530FA9"/>
    <w:rsid w:val="00540D48"/>
    <w:rsid w:val="005417EA"/>
    <w:rsid w:val="00544392"/>
    <w:rsid w:val="00545560"/>
    <w:rsid w:val="00545F20"/>
    <w:rsid w:val="005527E5"/>
    <w:rsid w:val="00561C48"/>
    <w:rsid w:val="005650AD"/>
    <w:rsid w:val="0056697D"/>
    <w:rsid w:val="00567370"/>
    <w:rsid w:val="0057651C"/>
    <w:rsid w:val="0058310B"/>
    <w:rsid w:val="00583B87"/>
    <w:rsid w:val="005912AA"/>
    <w:rsid w:val="00591B20"/>
    <w:rsid w:val="005A28E4"/>
    <w:rsid w:val="005A2C42"/>
    <w:rsid w:val="005B0C90"/>
    <w:rsid w:val="005B6934"/>
    <w:rsid w:val="005B7AD7"/>
    <w:rsid w:val="005C0A72"/>
    <w:rsid w:val="005D169E"/>
    <w:rsid w:val="005E63D9"/>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73187"/>
    <w:rsid w:val="00893A92"/>
    <w:rsid w:val="00895149"/>
    <w:rsid w:val="008A0B0E"/>
    <w:rsid w:val="008A0FDD"/>
    <w:rsid w:val="008E0AA6"/>
    <w:rsid w:val="008F5CE3"/>
    <w:rsid w:val="00902B2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D74FE"/>
    <w:rsid w:val="009E741C"/>
    <w:rsid w:val="009E7CDD"/>
    <w:rsid w:val="009F4293"/>
    <w:rsid w:val="009F61EB"/>
    <w:rsid w:val="00A02E6E"/>
    <w:rsid w:val="00A05B62"/>
    <w:rsid w:val="00A20C30"/>
    <w:rsid w:val="00A22BD2"/>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6222"/>
    <w:rsid w:val="00BB7677"/>
    <w:rsid w:val="00C10AA7"/>
    <w:rsid w:val="00C31B42"/>
    <w:rsid w:val="00C43775"/>
    <w:rsid w:val="00C460D6"/>
    <w:rsid w:val="00C53746"/>
    <w:rsid w:val="00C608B4"/>
    <w:rsid w:val="00C72A1B"/>
    <w:rsid w:val="00C9263A"/>
    <w:rsid w:val="00C928EB"/>
    <w:rsid w:val="00CA2309"/>
    <w:rsid w:val="00CB0563"/>
    <w:rsid w:val="00CB1097"/>
    <w:rsid w:val="00CD438B"/>
    <w:rsid w:val="00CE15C1"/>
    <w:rsid w:val="00CF0708"/>
    <w:rsid w:val="00D137C2"/>
    <w:rsid w:val="00D21FA4"/>
    <w:rsid w:val="00D2458C"/>
    <w:rsid w:val="00D30EB7"/>
    <w:rsid w:val="00D47A16"/>
    <w:rsid w:val="00D53546"/>
    <w:rsid w:val="00D749F4"/>
    <w:rsid w:val="00D931C0"/>
    <w:rsid w:val="00D94717"/>
    <w:rsid w:val="00D94744"/>
    <w:rsid w:val="00DA141F"/>
    <w:rsid w:val="00DB29F1"/>
    <w:rsid w:val="00DD299E"/>
    <w:rsid w:val="00DD2AF4"/>
    <w:rsid w:val="00DE1083"/>
    <w:rsid w:val="00DF1487"/>
    <w:rsid w:val="00DF153B"/>
    <w:rsid w:val="00E126EC"/>
    <w:rsid w:val="00E33FDE"/>
    <w:rsid w:val="00E350C7"/>
    <w:rsid w:val="00E364D2"/>
    <w:rsid w:val="00E5096A"/>
    <w:rsid w:val="00E55527"/>
    <w:rsid w:val="00E70646"/>
    <w:rsid w:val="00EA6ED2"/>
    <w:rsid w:val="00EB66A6"/>
    <w:rsid w:val="00EE4EED"/>
    <w:rsid w:val="00F04090"/>
    <w:rsid w:val="00F13735"/>
    <w:rsid w:val="00F2656E"/>
    <w:rsid w:val="00F37774"/>
    <w:rsid w:val="00F50F96"/>
    <w:rsid w:val="00F51F16"/>
    <w:rsid w:val="00F53703"/>
    <w:rsid w:val="00F57119"/>
    <w:rsid w:val="00F73AA4"/>
    <w:rsid w:val="00F762F8"/>
    <w:rsid w:val="00F9005E"/>
    <w:rsid w:val="00FA0419"/>
    <w:rsid w:val="00FB08FE"/>
    <w:rsid w:val="00FC331E"/>
    <w:rsid w:val="00FD5DFE"/>
    <w:rsid w:val="00FE1249"/>
    <w:rsid w:val="00FE2318"/>
    <w:rsid w:val="00FE5CFF"/>
    <w:rsid w:val="0218729C"/>
    <w:rsid w:val="02EA7E81"/>
    <w:rsid w:val="05B955A9"/>
    <w:rsid w:val="05F17AC4"/>
    <w:rsid w:val="06565D7C"/>
    <w:rsid w:val="06DE6953"/>
    <w:rsid w:val="0C911AFA"/>
    <w:rsid w:val="0DE15120"/>
    <w:rsid w:val="0E9D6C3E"/>
    <w:rsid w:val="0F7909A8"/>
    <w:rsid w:val="0FE93A22"/>
    <w:rsid w:val="105D1B31"/>
    <w:rsid w:val="126A32DB"/>
    <w:rsid w:val="131C4C51"/>
    <w:rsid w:val="14A7130D"/>
    <w:rsid w:val="14E37374"/>
    <w:rsid w:val="174624BE"/>
    <w:rsid w:val="1A4772B8"/>
    <w:rsid w:val="1A675CCB"/>
    <w:rsid w:val="1AAB0964"/>
    <w:rsid w:val="1B912C21"/>
    <w:rsid w:val="1F2D6B06"/>
    <w:rsid w:val="1F752E36"/>
    <w:rsid w:val="221A3813"/>
    <w:rsid w:val="22A52928"/>
    <w:rsid w:val="234A77AC"/>
    <w:rsid w:val="252218B8"/>
    <w:rsid w:val="25EA35B4"/>
    <w:rsid w:val="2B5B3134"/>
    <w:rsid w:val="2C583931"/>
    <w:rsid w:val="2C8F0B18"/>
    <w:rsid w:val="2E3D3CA0"/>
    <w:rsid w:val="303A0730"/>
    <w:rsid w:val="316424EB"/>
    <w:rsid w:val="33194A17"/>
    <w:rsid w:val="37D81054"/>
    <w:rsid w:val="37FC2926"/>
    <w:rsid w:val="39124E76"/>
    <w:rsid w:val="3D271595"/>
    <w:rsid w:val="3D9A637F"/>
    <w:rsid w:val="40A908BA"/>
    <w:rsid w:val="42F5079E"/>
    <w:rsid w:val="43BE5E39"/>
    <w:rsid w:val="44C63AF1"/>
    <w:rsid w:val="459844E6"/>
    <w:rsid w:val="45E3751B"/>
    <w:rsid w:val="487C0C18"/>
    <w:rsid w:val="4AB3020D"/>
    <w:rsid w:val="4CD15729"/>
    <w:rsid w:val="4D685148"/>
    <w:rsid w:val="4F980E65"/>
    <w:rsid w:val="50C71756"/>
    <w:rsid w:val="51DA19A6"/>
    <w:rsid w:val="568A57A4"/>
    <w:rsid w:val="5A5F25C6"/>
    <w:rsid w:val="5C1C2E1C"/>
    <w:rsid w:val="5CE0222B"/>
    <w:rsid w:val="5DFD28D7"/>
    <w:rsid w:val="5EC6574C"/>
    <w:rsid w:val="5F420436"/>
    <w:rsid w:val="63772297"/>
    <w:rsid w:val="63EE34BC"/>
    <w:rsid w:val="66061B48"/>
    <w:rsid w:val="68A43AD7"/>
    <w:rsid w:val="68C77CB4"/>
    <w:rsid w:val="6C1A549F"/>
    <w:rsid w:val="6D600B8E"/>
    <w:rsid w:val="7066285B"/>
    <w:rsid w:val="70BA2651"/>
    <w:rsid w:val="733A21E7"/>
    <w:rsid w:val="75106CE6"/>
    <w:rsid w:val="75355FA6"/>
    <w:rsid w:val="75822D8C"/>
    <w:rsid w:val="75AA195E"/>
    <w:rsid w:val="77F05AB9"/>
    <w:rsid w:val="78DA0012"/>
    <w:rsid w:val="7A8770A4"/>
    <w:rsid w:val="7B851783"/>
    <w:rsid w:val="7BA30B19"/>
    <w:rsid w:val="7BB32EA3"/>
    <w:rsid w:val="7BF3096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字符"/>
    <w:basedOn w:val="19"/>
    <w:link w:val="7"/>
    <w:qFormat/>
    <w:uiPriority w:val="99"/>
  </w:style>
  <w:style w:type="character" w:customStyle="1" w:styleId="24">
    <w:name w:val="正文首行缩进 字符"/>
    <w:basedOn w:val="23"/>
    <w:link w:val="16"/>
    <w:qFormat/>
    <w:uiPriority w:val="99"/>
  </w:style>
  <w:style w:type="character" w:customStyle="1" w:styleId="25">
    <w:name w:val="标题 1 字符"/>
    <w:basedOn w:val="19"/>
    <w:link w:val="2"/>
    <w:qFormat/>
    <w:uiPriority w:val="9"/>
    <w:rPr>
      <w:b/>
      <w:bCs/>
      <w:kern w:val="44"/>
      <w:sz w:val="44"/>
      <w:szCs w:val="44"/>
    </w:rPr>
  </w:style>
  <w:style w:type="character" w:customStyle="1" w:styleId="26">
    <w:name w:val="标题 2 字符"/>
    <w:basedOn w:val="19"/>
    <w:link w:val="3"/>
    <w:qFormat/>
    <w:uiPriority w:val="9"/>
    <w:rPr>
      <w:rFonts w:asciiTheme="majorHAnsi" w:hAnsiTheme="majorHAnsi" w:eastAsiaTheme="majorEastAsia" w:cstheme="majorBidi"/>
      <w:b/>
      <w:bCs/>
      <w:kern w:val="2"/>
      <w:sz w:val="32"/>
      <w:szCs w:val="32"/>
    </w:rPr>
  </w:style>
  <w:style w:type="character" w:customStyle="1" w:styleId="27">
    <w:name w:val="页眉 字符"/>
    <w:basedOn w:val="19"/>
    <w:link w:val="12"/>
    <w:qFormat/>
    <w:uiPriority w:val="99"/>
    <w:rPr>
      <w:rFonts w:asciiTheme="minorHAnsi" w:hAnsiTheme="minorHAnsi" w:eastAsiaTheme="minorEastAsia" w:cstheme="minorBidi"/>
      <w:kern w:val="2"/>
      <w:sz w:val="18"/>
      <w:szCs w:val="18"/>
    </w:rPr>
  </w:style>
  <w:style w:type="character" w:customStyle="1" w:styleId="28">
    <w:name w:val="页脚 字符"/>
    <w:basedOn w:val="19"/>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9"/>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7481</Words>
  <Characters>7904</Characters>
  <Lines>79</Lines>
  <Paragraphs>22</Paragraphs>
  <TotalTime>0</TotalTime>
  <ScaleCrop>false</ScaleCrop>
  <LinksUpToDate>false</LinksUpToDate>
  <CharactersWithSpaces>9196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2026-01-12T09:03:47Z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