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58F46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3AC41B4">
      <w:pPr>
        <w:spacing w:line="520" w:lineRule="exact"/>
        <w:jc w:val="center"/>
        <w:rPr>
          <w:rFonts w:ascii="Arial" w:hAnsi="Arial" w:cs="Arial"/>
          <w:b/>
          <w:sz w:val="28"/>
          <w:szCs w:val="32"/>
        </w:rPr>
      </w:pPr>
      <w:r>
        <w:rPr>
          <w:rFonts w:hint="eastAsia" w:ascii="Arial" w:hAnsi="Arial" w:cs="Arial"/>
          <w:b/>
          <w:sz w:val="28"/>
          <w:szCs w:val="32"/>
        </w:rPr>
        <w:t>2025年学校满意度调查问卷报告编制及过程服务</w:t>
      </w:r>
      <w:r>
        <w:rPr>
          <w:rFonts w:hint="eastAsia" w:ascii="Arial" w:hAnsi="Arial" w:cs="Arial"/>
          <w:b/>
          <w:sz w:val="28"/>
          <w:szCs w:val="32"/>
          <w:lang w:val="en-US" w:eastAsia="zh-CN"/>
        </w:rPr>
        <w:t>采购</w:t>
      </w:r>
      <w:r>
        <w:rPr>
          <w:rFonts w:hint="eastAsia" w:ascii="Arial" w:hAnsi="Arial" w:cs="Arial"/>
          <w:b/>
          <w:sz w:val="28"/>
          <w:szCs w:val="32"/>
        </w:rPr>
        <w:t>项目</w:t>
      </w:r>
      <w:r>
        <w:rPr>
          <w:rFonts w:ascii="Arial" w:hAnsi="Arial" w:cs="Arial"/>
          <w:b/>
          <w:sz w:val="28"/>
          <w:szCs w:val="32"/>
        </w:rPr>
        <w:t>询价采购公告</w:t>
      </w:r>
    </w:p>
    <w:p w14:paraId="163FA8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34</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11</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20</w:t>
      </w:r>
      <w:r>
        <w:rPr>
          <w:rFonts w:hint="eastAsia" w:ascii="Arial" w:hAnsi="Arial" w:cs="Arial"/>
          <w:b/>
          <w:kern w:val="0"/>
          <w:sz w:val="22"/>
          <w:szCs w:val="24"/>
          <w:lang w:bidi="en-US"/>
        </w:rPr>
        <w:t>日</w:t>
      </w:r>
    </w:p>
    <w:p w14:paraId="075D870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2025年学校满意度调查问卷报告编制及过程服务采购</w:t>
      </w:r>
    </w:p>
    <w:p w14:paraId="76E0953D">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壹拾壹万玖仟</w:t>
      </w:r>
      <w:r>
        <w:rPr>
          <w:rFonts w:ascii="Arial" w:hAnsi="Arial" w:cs="Arial"/>
          <w:bCs/>
          <w:kern w:val="0"/>
          <w:sz w:val="24"/>
          <w:szCs w:val="28"/>
          <w:lang w:bidi="en-US"/>
        </w:rPr>
        <w:t>元整（¥</w:t>
      </w:r>
      <w:r>
        <w:rPr>
          <w:rFonts w:hint="eastAsia" w:ascii="Arial" w:hAnsi="Arial" w:cs="Arial"/>
          <w:bCs/>
          <w:kern w:val="0"/>
          <w:sz w:val="24"/>
          <w:szCs w:val="28"/>
          <w:lang w:val="en-US" w:eastAsia="zh-CN" w:bidi="en-US"/>
        </w:rPr>
        <w:t>119000</w:t>
      </w:r>
      <w:r>
        <w:rPr>
          <w:rFonts w:hint="eastAsia" w:ascii="Arial" w:hAnsi="Arial" w:cs="Arial"/>
          <w:bCs/>
          <w:kern w:val="0"/>
          <w:sz w:val="24"/>
          <w:szCs w:val="28"/>
          <w:lang w:bidi="en-US"/>
        </w:rPr>
        <w:t>.00</w:t>
      </w:r>
      <w:r>
        <w:rPr>
          <w:rFonts w:ascii="Arial" w:hAnsi="Arial" w:cs="Arial"/>
          <w:bCs/>
          <w:kern w:val="0"/>
          <w:sz w:val="24"/>
          <w:szCs w:val="28"/>
          <w:lang w:bidi="en-US"/>
        </w:rPr>
        <w:t>）</w:t>
      </w:r>
    </w:p>
    <w:p w14:paraId="7B24866B">
      <w:pPr>
        <w:numPr>
          <w:ilvl w:val="0"/>
          <w:numId w:val="1"/>
        </w:numPr>
        <w:spacing w:line="520" w:lineRule="exact"/>
        <w:rPr>
          <w:rFonts w:hint="default" w:ascii="Arial" w:hAnsi="Arial" w:cs="Arial"/>
          <w:bCs/>
          <w:color w:val="FF0000"/>
          <w:kern w:val="0"/>
          <w:sz w:val="24"/>
          <w:szCs w:val="28"/>
          <w:lang w:val="en-US" w:bidi="en-US"/>
        </w:rPr>
      </w:pPr>
      <w:r>
        <w:rPr>
          <w:rFonts w:hint="eastAsia" w:ascii="Arial" w:hAnsi="Arial" w:cs="Arial"/>
          <w:bCs/>
          <w:kern w:val="0"/>
          <w:sz w:val="24"/>
          <w:szCs w:val="28"/>
          <w:lang w:bidi="en-US"/>
        </w:rPr>
        <w:t>评标方法：综合评分法</w:t>
      </w:r>
      <w:r>
        <w:rPr>
          <w:rFonts w:hint="eastAsia" w:ascii="Arial" w:hAnsi="Arial" w:cs="Arial"/>
          <w:bCs/>
          <w:color w:val="FF0000"/>
          <w:kern w:val="0"/>
          <w:sz w:val="24"/>
          <w:szCs w:val="28"/>
          <w:lang w:val="en-US" w:eastAsia="zh-CN" w:bidi="en-US"/>
        </w:rPr>
        <w:t xml:space="preserve"> </w:t>
      </w:r>
    </w:p>
    <w:p w14:paraId="48EAFC50">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75D6DB85">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412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23B0FEA0">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2B76B2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288B6895">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482FA216">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4D5D442D">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0968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tcPr>
          <w:p w14:paraId="541DEB79">
            <w:pPr>
              <w:widowControl/>
              <w:rPr>
                <w:rFonts w:ascii="Arial" w:hAnsi="Arial" w:cs="Arial"/>
                <w:kern w:val="0"/>
                <w:szCs w:val="21"/>
              </w:rPr>
            </w:pPr>
            <w:r>
              <w:rPr>
                <w:rFonts w:ascii="Arial" w:hAnsi="Arial" w:cs="Arial"/>
                <w:kern w:val="0"/>
                <w:szCs w:val="21"/>
              </w:rPr>
              <w:t>1</w:t>
            </w:r>
          </w:p>
        </w:tc>
        <w:tc>
          <w:tcPr>
            <w:tcW w:w="851" w:type="dxa"/>
            <w:shd w:val="clear" w:color="auto" w:fill="auto"/>
            <w:noWrap/>
          </w:tcPr>
          <w:p w14:paraId="5D490E7F">
            <w:pPr>
              <w:widowControl/>
              <w:rPr>
                <w:rFonts w:ascii="Arial" w:hAnsi="Arial" w:cs="Arial"/>
                <w:kern w:val="0"/>
                <w:szCs w:val="21"/>
              </w:rPr>
            </w:pPr>
            <w:r>
              <w:rPr>
                <w:rFonts w:hint="eastAsia" w:ascii="Arial" w:hAnsi="Arial" w:cs="Arial"/>
                <w:kern w:val="0"/>
                <w:szCs w:val="21"/>
              </w:rPr>
              <w:t>2025年学校满意度调查问卷报告编制及过程服务</w:t>
            </w:r>
          </w:p>
        </w:tc>
        <w:tc>
          <w:tcPr>
            <w:tcW w:w="7759" w:type="dxa"/>
            <w:shd w:val="clear" w:color="auto" w:fill="auto"/>
            <w:noWrap/>
          </w:tcPr>
          <w:p w14:paraId="3889555E">
            <w:pPr>
              <w:spacing w:line="360" w:lineRule="auto"/>
              <w:jc w:val="left"/>
              <w:rPr>
                <w:rFonts w:hint="default" w:ascii="Times New Roman" w:hAnsi="Times New Roman" w:cs="Times New Roman" w:eastAsiaTheme="majorEastAsia"/>
                <w:b/>
                <w:szCs w:val="21"/>
                <w:lang w:val="en-US" w:eastAsia="zh-CN"/>
              </w:rPr>
            </w:pPr>
            <w:r>
              <w:rPr>
                <w:rFonts w:hint="eastAsia" w:ascii="Times New Roman" w:hAnsi="Times New Roman" w:cs="Times New Roman" w:eastAsiaTheme="majorEastAsia"/>
                <w:b/>
                <w:szCs w:val="21"/>
              </w:rPr>
              <w:t>一、</w:t>
            </w:r>
            <w:r>
              <w:rPr>
                <w:rFonts w:hint="eastAsia" w:ascii="Times New Roman" w:hAnsi="Times New Roman" w:cs="Times New Roman" w:eastAsiaTheme="majorEastAsia"/>
                <w:b/>
                <w:szCs w:val="21"/>
                <w:lang w:val="en-US" w:eastAsia="zh-CN"/>
              </w:rPr>
              <w:t>调查要求</w:t>
            </w:r>
          </w:p>
          <w:p w14:paraId="5AF2C0A0">
            <w:pPr>
              <w:spacing w:line="360" w:lineRule="auto"/>
              <w:jc w:val="left"/>
              <w:rPr>
                <w:rFonts w:hint="eastAsia" w:ascii="Times New Roman" w:hAnsi="Times New Roman" w:cs="Times New Roman" w:eastAsiaTheme="majorEastAsia"/>
                <w:szCs w:val="21"/>
                <w:lang w:val="en-US" w:eastAsia="zh-CN"/>
              </w:rPr>
            </w:pPr>
            <w:r>
              <w:rPr>
                <w:rFonts w:hint="eastAsia" w:ascii="Times New Roman" w:hAnsi="Times New Roman" w:cs="Times New Roman" w:eastAsiaTheme="majorEastAsia"/>
                <w:szCs w:val="21"/>
              </w:rPr>
              <w:t>从在校生、毕业生、教职工、家长和用人单位5个方面，针对不同群体，开展</w:t>
            </w:r>
            <w:r>
              <w:rPr>
                <w:rFonts w:hint="eastAsia" w:ascii="Times New Roman" w:hAnsi="Times New Roman" w:cs="Times New Roman" w:eastAsiaTheme="majorEastAsia"/>
                <w:szCs w:val="21"/>
                <w:lang w:val="en-US" w:eastAsia="zh-CN"/>
              </w:rPr>
              <w:t>学校</w:t>
            </w:r>
            <w:r>
              <w:rPr>
                <w:rFonts w:hint="eastAsia" w:ascii="Times New Roman" w:hAnsi="Times New Roman" w:cs="Times New Roman" w:eastAsiaTheme="majorEastAsia"/>
                <w:szCs w:val="21"/>
              </w:rPr>
              <w:t>满意度调查，全面了解各方对学校办学质量、</w:t>
            </w:r>
            <w:r>
              <w:rPr>
                <w:rFonts w:hint="eastAsia" w:ascii="Times New Roman" w:hAnsi="Times New Roman" w:cs="Times New Roman" w:eastAsiaTheme="majorEastAsia"/>
                <w:szCs w:val="21"/>
                <w:lang w:val="en-US" w:eastAsia="zh-CN"/>
              </w:rPr>
              <w:t>就业质量、</w:t>
            </w:r>
            <w:r>
              <w:rPr>
                <w:rFonts w:hint="eastAsia" w:ascii="Times New Roman" w:hAnsi="Times New Roman" w:cs="Times New Roman" w:eastAsiaTheme="majorEastAsia"/>
                <w:szCs w:val="21"/>
              </w:rPr>
              <w:t>服务水平、管理效能等方面的评价和建议，更好地了解各方对学校的评价和期望，发现问题、解决问题、完善服务，促进学校双高建设和事业发展。</w:t>
            </w:r>
            <w:r>
              <w:rPr>
                <w:rFonts w:hint="eastAsia" w:ascii="Times New Roman" w:hAnsi="Times New Roman" w:cs="Times New Roman" w:eastAsiaTheme="majorEastAsia"/>
                <w:szCs w:val="21"/>
                <w:lang w:val="en-US" w:eastAsia="zh-CN"/>
              </w:rPr>
              <w:t xml:space="preserve"> </w:t>
            </w:r>
          </w:p>
          <w:p w14:paraId="7A7D6C14">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1.内容需求</w:t>
            </w:r>
          </w:p>
          <w:p w14:paraId="541F3F4F">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报价人负责满意度调查问卷的总体设计、调查数据收集、研究分析、撰写调查报告、制定满意度提升改进方案、指导改进方案实施。</w:t>
            </w:r>
          </w:p>
          <w:p w14:paraId="5597FF50">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(1) 调查问卷设计：根据不同群体的需求和特点，设计适合其的满意度调查问卷，包括在校生、毕业生、教职工、家长和用人单位不同群体各一套问卷。</w:t>
            </w:r>
          </w:p>
          <w:p w14:paraId="7CEBF6F2">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(2) 访谈提纲设计：针对上述各个群体，设计适合其需求和特点的满意度访谈提纲。</w:t>
            </w:r>
          </w:p>
          <w:p w14:paraId="0C8A228D">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(3) 组织满意度调查实施：针对上述各个群体，组织实施满意度问卷调查。</w:t>
            </w:r>
          </w:p>
          <w:p w14:paraId="7D2684F1">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(4) 访谈实施：在各个群体中，选择部分代表进行访谈，以收集其满意度情况。</w:t>
            </w:r>
          </w:p>
          <w:p w14:paraId="346D52F6">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(5) 报告编制：根据问卷调查数据和访谈记录，统计、分析和编制一套满意度调查报告，包括不同群体的满意度情况，最满意和最不满意的项目等。</w:t>
            </w:r>
          </w:p>
          <w:p w14:paraId="26E2EFF6">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(6) 指导改进：针对五个群体满意度调查发现的管理短板，分别制定详细的改进方案并指导学校相关部门实施改进，以促进各群体满意度不断提升。</w:t>
            </w:r>
          </w:p>
          <w:p w14:paraId="58011B3A">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2.技术需求</w:t>
            </w:r>
          </w:p>
          <w:p w14:paraId="3B21ECB0">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1）提供对比参照系：报价人须提供最少一项关于学校满意度调查报告作为对比参照系。具备学校满意度问卷设计案例，有较强调查问卷和访谈提纲的能力，能够根据不同群体的需求和特点，设计出适合其的问卷和访谈提纲。</w:t>
            </w:r>
          </w:p>
          <w:p w14:paraId="520858AF">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（2）项目进度查询：报价人须提供数据调查平台的账户、密码，让采购人在调研过程中以及调研完成后，能够通过该账户实时了解项目进展以及查看样本回收情况。</w:t>
            </w:r>
          </w:p>
          <w:p w14:paraId="4AC46FF9">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（3）保障答题真实性：报价人须在调研完成后提供此次调研所有原始数据库，采购人可通过数据库内容抽查问卷真实答题情况。</w:t>
            </w:r>
          </w:p>
          <w:p w14:paraId="731170D5">
            <w:pPr>
              <w:spacing w:line="360" w:lineRule="auto"/>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（4）分析要求：分析报告内容需细化。具备数据分析和报告编制的能力，熟练掌握常用的数据分析工具和软件，能够根据数据分析结果编制出高质量的满意度调查报告。</w:t>
            </w:r>
          </w:p>
          <w:p w14:paraId="702C3E3D">
            <w:pPr>
              <w:spacing w:line="360" w:lineRule="auto"/>
              <w:jc w:val="left"/>
              <w:rPr>
                <w:rFonts w:hint="eastAsia" w:ascii="Times New Roman" w:hAnsi="Times New Roman" w:cs="Times New Roman" w:eastAsiaTheme="majorEastAsia"/>
                <w:szCs w:val="21"/>
              </w:rPr>
            </w:pPr>
            <w:r>
              <w:rPr>
                <w:rFonts w:hint="eastAsia" w:ascii="Times New Roman" w:hAnsi="Times New Roman" w:cs="Times New Roman" w:eastAsiaTheme="majorEastAsia"/>
                <w:szCs w:val="21"/>
              </w:rPr>
              <w:t>（5）指导改进：具备基于数据分析发掘学校深层次管理问题的能力，熟练运用管理理念和方法制定系统性的改进方案，并能现场指导学校相关部门实施改进和达成效果。</w:t>
            </w:r>
          </w:p>
          <w:p w14:paraId="0B9DD42C">
            <w:pPr>
              <w:spacing w:line="360" w:lineRule="auto"/>
              <w:jc w:val="left"/>
              <w:rPr>
                <w:rFonts w:hint="default" w:ascii="Times New Roman" w:hAnsi="Times New Roman" w:cs="Times New Roman" w:eastAsiaTheme="majorEastAsia"/>
                <w:b/>
                <w:bCs/>
                <w:sz w:val="21"/>
                <w:szCs w:val="21"/>
                <w:lang w:val="en-US" w:eastAsia="zh-CN"/>
              </w:rPr>
            </w:pPr>
            <w:r>
              <w:rPr>
                <w:rFonts w:hint="eastAsia" w:ascii="Times New Roman" w:hAnsi="Times New Roman" w:cs="Times New Roman" w:eastAsiaTheme="majorEastAsia"/>
                <w:b/>
                <w:bCs/>
                <w:sz w:val="21"/>
                <w:szCs w:val="21"/>
                <w:lang w:val="en-US" w:eastAsia="zh-CN"/>
              </w:rPr>
              <w:t>二、报告编制要求</w:t>
            </w:r>
          </w:p>
          <w:p w14:paraId="68B04898">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1.</w:t>
            </w:r>
            <w:r>
              <w:rPr>
                <w:rFonts w:hint="eastAsia" w:ascii="Times New Roman" w:hAnsi="Times New Roman" w:cs="Times New Roman"/>
                <w:b w:val="0"/>
                <w:bCs w:val="0"/>
                <w:color w:val="auto"/>
                <w:sz w:val="21"/>
                <w:szCs w:val="21"/>
              </w:rPr>
              <w:t>《在校生满意度调查报告》</w:t>
            </w:r>
            <w:r>
              <w:rPr>
                <w:rFonts w:hint="eastAsia" w:ascii="Times New Roman" w:hAnsi="Times New Roman" w:cs="Times New Roman"/>
                <w:b w:val="0"/>
                <w:bCs w:val="0"/>
                <w:color w:val="auto"/>
                <w:sz w:val="21"/>
                <w:szCs w:val="21"/>
                <w:lang w:val="en-US" w:eastAsia="zh-CN"/>
              </w:rPr>
              <w:t>须</w:t>
            </w:r>
            <w:r>
              <w:rPr>
                <w:rFonts w:hint="eastAsia" w:ascii="Times New Roman" w:hAnsi="Times New Roman" w:cs="Times New Roman"/>
                <w:b w:val="0"/>
                <w:bCs w:val="0"/>
                <w:color w:val="auto"/>
                <w:sz w:val="21"/>
                <w:szCs w:val="21"/>
              </w:rPr>
              <w:t>涵盖但不限于以下三大模块</w:t>
            </w:r>
          </w:p>
          <w:p w14:paraId="37BC1E6D">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fldChar w:fldCharType="begin"/>
            </w:r>
            <w:r>
              <w:rPr>
                <w:rFonts w:hint="eastAsia" w:ascii="Times New Roman" w:hAnsi="Times New Roman" w:cs="Times New Roman"/>
                <w:color w:val="auto"/>
                <w:sz w:val="21"/>
                <w:szCs w:val="21"/>
              </w:rPr>
              <w:instrText xml:space="preserve"> = 1 \* GB3 \* MERGEFORMAT </w:instrText>
            </w:r>
            <w:r>
              <w:rPr>
                <w:rFonts w:hint="eastAsia" w:ascii="Times New Roman" w:hAnsi="Times New Roman" w:cs="Times New Roman"/>
                <w:color w:val="auto"/>
                <w:sz w:val="21"/>
                <w:szCs w:val="21"/>
              </w:rPr>
              <w:fldChar w:fldCharType="separate"/>
            </w:r>
            <w:r>
              <w:rPr>
                <w:rFonts w:ascii="Times New Roman" w:hAnsi="Times New Roman"/>
                <w:color w:val="auto"/>
              </w:rPr>
              <w:t>①</w:t>
            </w:r>
            <w:r>
              <w:rPr>
                <w:rFonts w:hint="eastAsia" w:ascii="Times New Roman" w:hAnsi="Times New Roman" w:cs="Times New Roman"/>
                <w:color w:val="auto"/>
                <w:sz w:val="21"/>
                <w:szCs w:val="21"/>
              </w:rPr>
              <w:fldChar w:fldCharType="end"/>
            </w:r>
            <w:r>
              <w:rPr>
                <w:rFonts w:hint="eastAsia" w:ascii="Times New Roman" w:hAnsi="Times New Roman" w:cs="Times New Roman"/>
                <w:color w:val="auto"/>
                <w:sz w:val="21"/>
                <w:szCs w:val="21"/>
              </w:rPr>
              <w:t>调查总体概览：包含调查背景、目的与意义、实施细节（问卷组成、调查设计、组织形式与调查参与情况、样本情况）；</w:t>
            </w:r>
          </w:p>
          <w:p w14:paraId="680BD4A7">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fldChar w:fldCharType="begin"/>
            </w:r>
            <w:r>
              <w:rPr>
                <w:rFonts w:hint="eastAsia" w:ascii="Times New Roman" w:hAnsi="Times New Roman" w:cs="Times New Roman"/>
                <w:color w:val="auto"/>
                <w:sz w:val="21"/>
                <w:szCs w:val="21"/>
              </w:rPr>
              <w:instrText xml:space="preserve"> = 2 \* GB3 \* MERGEFORMAT </w:instrText>
            </w:r>
            <w:r>
              <w:rPr>
                <w:rFonts w:hint="eastAsia" w:ascii="Times New Roman" w:hAnsi="Times New Roman" w:cs="Times New Roman"/>
                <w:color w:val="auto"/>
                <w:sz w:val="21"/>
                <w:szCs w:val="21"/>
              </w:rPr>
              <w:fldChar w:fldCharType="separate"/>
            </w:r>
            <w:r>
              <w:rPr>
                <w:rFonts w:ascii="Times New Roman" w:hAnsi="Times New Roman"/>
                <w:color w:val="auto"/>
              </w:rPr>
              <w:t>②</w:t>
            </w:r>
            <w:r>
              <w:rPr>
                <w:rFonts w:hint="eastAsia" w:ascii="Times New Roman" w:hAnsi="Times New Roman" w:cs="Times New Roman"/>
                <w:color w:val="auto"/>
                <w:sz w:val="21"/>
                <w:szCs w:val="21"/>
              </w:rPr>
              <w:fldChar w:fldCharType="end"/>
            </w:r>
            <w:r>
              <w:rPr>
                <w:rFonts w:hint="eastAsia" w:ascii="Times New Roman" w:hAnsi="Times New Roman" w:cs="Times New Roman"/>
                <w:color w:val="auto"/>
                <w:sz w:val="21"/>
                <w:szCs w:val="21"/>
              </w:rPr>
              <w:t>满意度分析：包含总体满意度，及生活后勤服务、校园环境、日常事务服务、职业发展服务、教育教学服务、教育教学资源、学生综合素质培养、学校影响力与校园文化等细分模块满意度，需单独分析双高专业群学生、职业本科学生的满意度；</w:t>
            </w:r>
            <w:r>
              <w:rPr>
                <w:rFonts w:hint="default" w:ascii="Times New Roman" w:hAnsi="Times New Roman" w:cs="Calibri"/>
                <w:color w:val="auto"/>
                <w:sz w:val="21"/>
                <w:szCs w:val="21"/>
              </w:rPr>
              <w:t>③</w:t>
            </w:r>
            <w:r>
              <w:rPr>
                <w:rFonts w:hint="eastAsia" w:ascii="Times New Roman" w:hAnsi="Times New Roman" w:cs="Times New Roman"/>
                <w:color w:val="auto"/>
                <w:sz w:val="21"/>
                <w:szCs w:val="21"/>
              </w:rPr>
              <w:t>总结与改进：包含主要成效与重大发现，各细分服务模块的改进分析与提升建议。</w:t>
            </w:r>
          </w:p>
          <w:p w14:paraId="208510BF">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w:t>
            </w:r>
            <w:r>
              <w:rPr>
                <w:rFonts w:ascii="Arial" w:hAnsi="Arial" w:eastAsia="宋体" w:cs="Arial"/>
                <w:i w:val="0"/>
                <w:iCs w:val="0"/>
                <w:caps w:val="0"/>
                <w:color w:val="000000"/>
                <w:spacing w:val="0"/>
                <w:sz w:val="19"/>
                <w:szCs w:val="19"/>
                <w:highlight w:val="none"/>
                <w:shd w:val="clear" w:fill="FFFFFF"/>
              </w:rPr>
              <w:t>毕业生就业质量报告</w:t>
            </w:r>
            <w:r>
              <w:rPr>
                <w:rFonts w:hint="eastAsia" w:ascii="Times New Roman" w:hAnsi="Times New Roman" w:cs="Times New Roman"/>
                <w:b w:val="0"/>
                <w:bCs w:val="0"/>
                <w:color w:val="auto"/>
                <w:sz w:val="21"/>
                <w:szCs w:val="21"/>
                <w:highlight w:val="none"/>
                <w:lang w:val="en-US" w:eastAsia="zh-CN"/>
              </w:rPr>
              <w:t>》</w:t>
            </w:r>
            <w:r>
              <w:rPr>
                <w:rFonts w:hint="eastAsia" w:ascii="Times New Roman" w:hAnsi="Times New Roman" w:cs="Times New Roman"/>
                <w:b w:val="0"/>
                <w:bCs w:val="0"/>
                <w:color w:val="auto"/>
                <w:sz w:val="21"/>
                <w:szCs w:val="21"/>
                <w:highlight w:val="none"/>
              </w:rPr>
              <w:t>需涵盖但不限于以下</w:t>
            </w:r>
            <w:r>
              <w:rPr>
                <w:rFonts w:hint="eastAsia" w:ascii="Times New Roman" w:hAnsi="Times New Roman" w:cs="Times New Roman"/>
                <w:b w:val="0"/>
                <w:bCs w:val="0"/>
                <w:color w:val="auto"/>
                <w:sz w:val="21"/>
                <w:szCs w:val="21"/>
                <w:highlight w:val="none"/>
                <w:lang w:val="en-US" w:eastAsia="zh-CN"/>
              </w:rPr>
              <w:t>六</w:t>
            </w:r>
            <w:r>
              <w:rPr>
                <w:rFonts w:hint="eastAsia" w:ascii="Times New Roman" w:hAnsi="Times New Roman" w:cs="Times New Roman"/>
                <w:b w:val="0"/>
                <w:bCs w:val="0"/>
                <w:color w:val="auto"/>
                <w:sz w:val="21"/>
                <w:szCs w:val="21"/>
                <w:highlight w:val="none"/>
              </w:rPr>
              <w:t>大模块</w:t>
            </w:r>
          </w:p>
          <w:p w14:paraId="2CB6548B">
            <w:pPr>
              <w:spacing w:line="360" w:lineRule="auto"/>
              <w:jc w:val="left"/>
              <w:rPr>
                <w:rFonts w:hint="eastAsia"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rPr>
              <w:t>按照</w:t>
            </w:r>
            <w:r>
              <w:rPr>
                <w:rFonts w:hint="eastAsia" w:ascii="Times New Roman" w:hAnsi="Times New Roman" w:cs="Times New Roman" w:eastAsiaTheme="majorEastAsia"/>
                <w:color w:val="auto"/>
                <w:szCs w:val="21"/>
                <w:highlight w:val="none"/>
                <w:lang w:val="en-US" w:eastAsia="zh-CN"/>
              </w:rPr>
              <w:t>我校《毕业生就业质量年度报告》</w:t>
            </w:r>
            <w:r>
              <w:rPr>
                <w:rFonts w:hint="eastAsia" w:ascii="Times New Roman" w:hAnsi="Times New Roman" w:cs="Times New Roman" w:eastAsiaTheme="majorEastAsia"/>
                <w:color w:val="auto"/>
                <w:szCs w:val="21"/>
                <w:highlight w:val="none"/>
              </w:rPr>
              <w:t>标准大纲进行2025届毕业生问卷和用人单位问卷设计，通过网上平台发放电子调查问卷，并对派遣数据、学生调研数据、用人单位调研数据等进行客观数据分析，需涵盖但不限于以下六大核心部分：</w:t>
            </w:r>
          </w:p>
          <w:p w14:paraId="1463AD71">
            <w:pPr>
              <w:spacing w:line="360" w:lineRule="auto"/>
              <w:jc w:val="left"/>
              <w:rPr>
                <w:rFonts w:hint="eastAsia"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lang w:val="en-US" w:eastAsia="zh-CN"/>
              </w:rPr>
              <w:t>①毕业生就业基本情况</w:t>
            </w:r>
            <w:r>
              <w:rPr>
                <w:rFonts w:hint="eastAsia" w:ascii="Times New Roman" w:hAnsi="Times New Roman" w:cs="Times New Roman" w:eastAsiaTheme="majorEastAsia"/>
                <w:color w:val="auto"/>
                <w:szCs w:val="21"/>
                <w:highlight w:val="none"/>
              </w:rPr>
              <w:t>：毕业</w:t>
            </w:r>
            <w:r>
              <w:rPr>
                <w:rFonts w:hint="eastAsia" w:ascii="Times New Roman" w:hAnsi="Times New Roman" w:cs="Times New Roman" w:eastAsiaTheme="majorEastAsia"/>
                <w:color w:val="auto"/>
                <w:szCs w:val="21"/>
                <w:highlight w:val="none"/>
                <w:lang w:val="en-US" w:eastAsia="zh-CN"/>
              </w:rPr>
              <w:t>生规划与结构</w:t>
            </w:r>
            <w:r>
              <w:rPr>
                <w:rFonts w:hint="eastAsia" w:ascii="Times New Roman" w:hAnsi="Times New Roman" w:cs="Times New Roman" w:eastAsiaTheme="majorEastAsia"/>
                <w:color w:val="auto"/>
                <w:szCs w:val="21"/>
                <w:highlight w:val="none"/>
              </w:rPr>
              <w:t>、毕业去向落实情况</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rPr>
              <w:t>单位就业流向等</w:t>
            </w:r>
            <w:r>
              <w:rPr>
                <w:rFonts w:hint="eastAsia" w:ascii="Times New Roman" w:hAnsi="Times New Roman"/>
                <w:b w:val="0"/>
                <w:bCs w:val="0"/>
                <w:color w:val="auto"/>
                <w:highlight w:val="none"/>
                <w:lang w:val="en-US" w:eastAsia="zh-CN"/>
              </w:rPr>
              <w:t>。</w:t>
            </w:r>
          </w:p>
          <w:p w14:paraId="6457FCBB">
            <w:pPr>
              <w:spacing w:line="360" w:lineRule="auto"/>
              <w:jc w:val="left"/>
              <w:rPr>
                <w:rFonts w:hint="eastAsia" w:ascii="Times New Roman" w:hAnsi="Times New Roman" w:cs="Times New Roman" w:eastAsiaTheme="majorEastAsia"/>
                <w:color w:val="auto"/>
                <w:szCs w:val="21"/>
                <w:highlight w:val="none"/>
                <w:lang w:eastAsia="zh-CN"/>
              </w:rPr>
            </w:pPr>
            <w:r>
              <w:rPr>
                <w:rFonts w:hint="eastAsia" w:ascii="Times New Roman" w:hAnsi="Times New Roman" w:cs="Times New Roman" w:eastAsiaTheme="majorEastAsia"/>
                <w:color w:val="auto"/>
                <w:szCs w:val="21"/>
                <w:highlight w:val="none"/>
                <w:lang w:val="en-US" w:eastAsia="zh-CN"/>
              </w:rPr>
              <w:t>②</w:t>
            </w:r>
            <w:r>
              <w:rPr>
                <w:rFonts w:hint="eastAsia" w:ascii="Times New Roman" w:hAnsi="Times New Roman" w:cs="Times New Roman" w:eastAsiaTheme="majorEastAsia"/>
                <w:color w:val="auto"/>
                <w:szCs w:val="21"/>
                <w:highlight w:val="none"/>
              </w:rPr>
              <w:t>服务重点区域和领域就业情况：就业地理大区、国家重点战略地区就业情况、主要就业城市、就业经济区流向、本地就业情况</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lang w:val="en-US" w:eastAsia="zh-CN"/>
              </w:rPr>
              <w:t>含A.</w:t>
            </w:r>
            <w:r>
              <w:rPr>
                <w:rFonts w:hint="eastAsia" w:ascii="Times New Roman" w:hAnsi="Times New Roman" w:cs="Times New Roman" w:eastAsiaTheme="majorEastAsia"/>
                <w:color w:val="auto"/>
                <w:szCs w:val="21"/>
                <w:highlight w:val="none"/>
              </w:rPr>
              <w:t>留本地就业率</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lang w:val="en-US" w:eastAsia="zh-CN"/>
              </w:rPr>
              <w:t>即</w:t>
            </w:r>
            <w:r>
              <w:rPr>
                <w:rFonts w:hint="eastAsia" w:ascii="Times New Roman" w:hAnsi="Times New Roman" w:cs="Times New Roman" w:eastAsiaTheme="majorEastAsia"/>
                <w:color w:val="auto"/>
                <w:szCs w:val="21"/>
                <w:highlight w:val="none"/>
              </w:rPr>
              <w:t>留省就业率与留市就业率</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lang w:val="en-US" w:eastAsia="zh-CN"/>
              </w:rPr>
              <w:t>B.</w:t>
            </w:r>
            <w:r>
              <w:rPr>
                <w:rFonts w:hint="eastAsia" w:ascii="Times New Roman" w:hAnsi="Times New Roman" w:cs="Times New Roman" w:eastAsiaTheme="majorEastAsia"/>
                <w:color w:val="auto"/>
                <w:szCs w:val="21"/>
                <w:highlight w:val="none"/>
              </w:rPr>
              <w:t>留本地就业生源</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rPr>
              <w:t>留省就业生源分布</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rPr>
              <w:t>留市就业生源分布</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lang w:val="en-US" w:eastAsia="zh-CN"/>
              </w:rPr>
              <w:t>C.</w:t>
            </w:r>
            <w:r>
              <w:rPr>
                <w:rFonts w:hint="eastAsia" w:ascii="Times New Roman" w:hAnsi="Times New Roman" w:cs="Times New Roman" w:eastAsiaTheme="majorEastAsia"/>
                <w:color w:val="auto"/>
                <w:szCs w:val="21"/>
                <w:highlight w:val="none"/>
              </w:rPr>
              <w:t>留省就业情况</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rPr>
              <w:t>省内就业行业分布</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rPr>
              <w:t>省内就业城市分布</w:t>
            </w:r>
            <w:r>
              <w:rPr>
                <w:rFonts w:hint="eastAsia" w:ascii="Times New Roman" w:hAnsi="Times New Roman" w:cs="Times New Roman" w:eastAsiaTheme="majorEastAsia"/>
                <w:color w:val="auto"/>
                <w:szCs w:val="21"/>
                <w:highlight w:val="none"/>
                <w:lang w:val="en-US" w:eastAsia="zh-CN"/>
              </w:rPr>
              <w:t>D.</w:t>
            </w:r>
            <w:r>
              <w:rPr>
                <w:rFonts w:hint="eastAsia" w:ascii="Times New Roman" w:hAnsi="Times New Roman" w:cs="Times New Roman" w:eastAsiaTheme="majorEastAsia"/>
                <w:color w:val="auto"/>
                <w:szCs w:val="21"/>
                <w:highlight w:val="none"/>
              </w:rPr>
              <w:t>留省就业反馈</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lang w:val="en-US" w:eastAsia="zh-CN"/>
              </w:rPr>
              <w:t>)</w:t>
            </w:r>
            <w:r>
              <w:rPr>
                <w:rFonts w:hint="eastAsia" w:ascii="Times New Roman" w:hAnsi="Times New Roman" w:cs="Times New Roman" w:eastAsiaTheme="majorEastAsia"/>
                <w:color w:val="auto"/>
                <w:szCs w:val="21"/>
                <w:highlight w:val="none"/>
              </w:rPr>
              <w:t>国家地方基层就业情况</w:t>
            </w:r>
            <w:r>
              <w:rPr>
                <w:rFonts w:hint="eastAsia" w:ascii="Times New Roman" w:hAnsi="Times New Roman" w:cs="Times New Roman" w:eastAsiaTheme="majorEastAsia"/>
                <w:color w:val="auto"/>
                <w:szCs w:val="21"/>
                <w:highlight w:val="none"/>
                <w:lang w:eastAsia="zh-CN"/>
              </w:rPr>
              <w:t>、</w:t>
            </w:r>
            <w:r>
              <w:rPr>
                <w:rFonts w:hint="eastAsia" w:ascii="Times New Roman" w:hAnsi="Times New Roman" w:cs="Times New Roman" w:eastAsiaTheme="majorEastAsia"/>
                <w:color w:val="auto"/>
                <w:szCs w:val="21"/>
                <w:highlight w:val="none"/>
              </w:rPr>
              <w:t>重点单位就业情况</w:t>
            </w:r>
            <w:r>
              <w:rPr>
                <w:rFonts w:hint="eastAsia" w:ascii="Times New Roman" w:hAnsi="Times New Roman" w:cs="Times New Roman" w:eastAsiaTheme="majorEastAsia"/>
                <w:color w:val="auto"/>
                <w:szCs w:val="21"/>
                <w:highlight w:val="none"/>
                <w:lang w:eastAsia="zh-CN"/>
              </w:rPr>
              <w:t>。</w:t>
            </w:r>
          </w:p>
          <w:p w14:paraId="60083DA5">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lang w:eastAsia="zh-CN"/>
              </w:rPr>
            </w:pPr>
            <w:r>
              <w:rPr>
                <w:rFonts w:hint="eastAsia" w:ascii="Times New Roman" w:hAnsi="Times New Roman" w:cs="Times New Roman" w:eastAsiaTheme="majorEastAsia"/>
                <w:color w:val="auto"/>
                <w:szCs w:val="21"/>
                <w:highlight w:val="none"/>
                <w:lang w:val="en-US" w:eastAsia="zh-CN"/>
              </w:rPr>
              <w:t>③</w:t>
            </w:r>
            <w:r>
              <w:rPr>
                <w:rFonts w:hint="eastAsia" w:ascii="Times New Roman" w:hAnsi="Times New Roman" w:cs="Times New Roman"/>
                <w:color w:val="auto"/>
                <w:sz w:val="21"/>
                <w:szCs w:val="21"/>
              </w:rPr>
              <w:t>毕业生升学与自主创业情况：</w:t>
            </w:r>
            <w:r>
              <w:rPr>
                <w:rFonts w:hint="default" w:ascii="Times New Roman" w:hAnsi="Times New Roman" w:cs="Times New Roman"/>
                <w:color w:val="auto"/>
                <w:sz w:val="21"/>
                <w:szCs w:val="21"/>
                <w:lang w:val="en-US" w:eastAsia="zh-CN"/>
              </w:rPr>
              <w:t>毕业生升学情况</w:t>
            </w:r>
            <w:r>
              <w:rPr>
                <w:rFonts w:hint="eastAsia" w:ascii="Times New Roman" w:hAnsi="Times New Roman" w:cs="Times New Roman"/>
                <w:color w:val="auto"/>
                <w:sz w:val="21"/>
                <w:szCs w:val="21"/>
                <w:lang w:val="en-US" w:eastAsia="zh-CN"/>
              </w:rPr>
              <w:t>（总体升学情况，含总体升学率、分学院及专业升学率；</w:t>
            </w:r>
            <w:r>
              <w:rPr>
                <w:rFonts w:hint="default" w:ascii="Times New Roman" w:hAnsi="Times New Roman" w:cs="Times New Roman"/>
                <w:color w:val="auto"/>
                <w:sz w:val="21"/>
                <w:szCs w:val="21"/>
                <w:lang w:val="en-US" w:eastAsia="zh-CN"/>
              </w:rPr>
              <w:t>升学院校特征</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升学院校类型</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升学院校名单</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升学反馈</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升学专业相关度</w:t>
            </w:r>
            <w:r>
              <w:rPr>
                <w:rFonts w:hint="eastAsia" w:ascii="Times New Roman" w:hAnsi="Times New Roman" w:cs="Times New Roman"/>
                <w:color w:val="auto"/>
                <w:sz w:val="21"/>
                <w:szCs w:val="21"/>
                <w:lang w:val="en-US" w:eastAsia="zh-CN"/>
              </w:rPr>
              <w:t>及</w:t>
            </w:r>
            <w:r>
              <w:rPr>
                <w:rFonts w:hint="default" w:ascii="Times New Roman" w:hAnsi="Times New Roman" w:cs="Times New Roman"/>
                <w:color w:val="auto"/>
                <w:sz w:val="21"/>
                <w:szCs w:val="21"/>
                <w:lang w:val="en-US" w:eastAsia="zh-CN"/>
              </w:rPr>
              <w:t>升学原因</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毕业生自主创业情况</w:t>
            </w:r>
            <w:r>
              <w:rPr>
                <w:rFonts w:hint="eastAsia" w:ascii="Times New Roman" w:hAnsi="Times New Roman" w:cs="Times New Roman"/>
                <w:color w:val="auto"/>
                <w:sz w:val="21"/>
                <w:szCs w:val="21"/>
                <w:lang w:val="en-US" w:eastAsia="zh-CN"/>
              </w:rPr>
              <w:t>（自主创业率；自主创业特征，含自主创业行业、自主创业方式；自主创业反馈，含自主创业原因、自主创业困难、自主创业期望帮、</w:t>
            </w:r>
            <w:r>
              <w:rPr>
                <w:rFonts w:hint="eastAsia" w:ascii="Times New Roman" w:hAnsi="Times New Roman" w:cs="Times New Roman"/>
                <w:color w:val="auto"/>
                <w:sz w:val="21"/>
                <w:szCs w:val="21"/>
              </w:rPr>
              <w:t>教师指导评价</w:t>
            </w:r>
            <w:r>
              <w:rPr>
                <w:rFonts w:hint="eastAsia" w:ascii="Times New Roman" w:hAnsi="Times New Roman" w:cs="Times New Roman"/>
                <w:color w:val="auto"/>
                <w:sz w:val="21"/>
                <w:szCs w:val="21"/>
                <w:lang w:eastAsia="zh-CN"/>
              </w:rPr>
              <w:t>。</w:t>
            </w:r>
          </w:p>
          <w:p w14:paraId="6BCB95E2">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④</w:t>
            </w:r>
            <w:r>
              <w:rPr>
                <w:rFonts w:hint="default" w:ascii="Times New Roman" w:hAnsi="Times New Roman" w:cs="Times New Roman"/>
                <w:color w:val="auto"/>
                <w:sz w:val="21"/>
                <w:szCs w:val="21"/>
                <w:lang w:val="en-US" w:eastAsia="zh-CN"/>
              </w:rPr>
              <w:t>毕业生就业反馈</w:t>
            </w:r>
            <w:r>
              <w:rPr>
                <w:rFonts w:hint="eastAsia"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就业满意度</w:t>
            </w:r>
            <w:r>
              <w:rPr>
                <w:rFonts w:hint="eastAsia"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就业适配性</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就业专业相关度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专业就业前景预期</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职业期待匹配度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人职匹配度</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社会福利</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薪资情况</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薪资分布</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薪资满意度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社会保障情况</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社会保障度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社会保障满意度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就业稳定性</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稳定性</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离职原因</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职业发展</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对用人单位综合评价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对用人单位分项评价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灵活就业分析</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自由职业特征</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灵活就业情况</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灵活就业未来打算</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灵活就业工作时长</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未就业分析</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未就业原因</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备考规划</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期望帮扶</w:t>
            </w:r>
            <w:r>
              <w:rPr>
                <w:rFonts w:hint="eastAsia" w:ascii="Times New Roman" w:hAnsi="Times New Roman" w:cs="Times New Roman"/>
                <w:color w:val="auto"/>
                <w:sz w:val="21"/>
                <w:szCs w:val="21"/>
                <w:lang w:val="en-US" w:eastAsia="zh-CN"/>
              </w:rPr>
              <w:t>）。</w:t>
            </w:r>
          </w:p>
          <w:p w14:paraId="79F79375">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⑤教育教学反馈</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母校总体评价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母校满意度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母校推荐度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教育教学评价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教育教学满意度</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教育教学综合评价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教育教学分项评价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课程评价及建议</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通识教育评价及建议</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专业教育评价及建议</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实践教学评价及建议</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职业能力教育评价及建议</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师资水平评价及建议</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就业创业服务评价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就业创业服务综合评价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就业创业服务分项评价</w:t>
            </w:r>
            <w:r>
              <w:rPr>
                <w:rFonts w:hint="eastAsia" w:ascii="Times New Roman" w:hAnsi="Times New Roman" w:cs="Times New Roman"/>
                <w:color w:val="auto"/>
                <w:sz w:val="21"/>
                <w:szCs w:val="21"/>
                <w:lang w:val="en-US" w:eastAsia="zh-CN"/>
              </w:rPr>
              <w:t>）。</w:t>
            </w:r>
          </w:p>
          <w:p w14:paraId="25ABDBDD">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⑥社会评价</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用人单位对毕业生评价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对毕业生满意度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对毕业生能力和素质评价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、用人单位对学校评价</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对学校人才培养评价</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人才培养认同度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人才培养建议</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对学校就业服务评价</w:t>
            </w:r>
            <w:r>
              <w:rPr>
                <w:rFonts w:hint="eastAsia" w:ascii="Times New Roman" w:hAnsi="Times New Roman" w:cs="Times New Roman"/>
                <w:color w:val="auto"/>
                <w:sz w:val="21"/>
                <w:szCs w:val="21"/>
                <w:lang w:val="en-US" w:eastAsia="zh-CN"/>
              </w:rPr>
              <w:t>，含</w:t>
            </w:r>
            <w:r>
              <w:rPr>
                <w:rFonts w:hint="default" w:ascii="Times New Roman" w:hAnsi="Times New Roman" w:cs="Times New Roman"/>
                <w:color w:val="auto"/>
                <w:sz w:val="21"/>
                <w:szCs w:val="21"/>
                <w:lang w:val="en-US" w:eastAsia="zh-CN"/>
              </w:rPr>
              <w:t>就业服务满意度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就业服务建议</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到学校招聘原因</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w:t>
            </w:r>
          </w:p>
          <w:p w14:paraId="2667D11B">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fldChar w:fldCharType="begin"/>
            </w:r>
            <w:r>
              <w:rPr>
                <w:rFonts w:hint="default" w:ascii="Times New Roman" w:hAnsi="Times New Roman" w:cs="Times New Roman"/>
                <w:color w:val="auto"/>
                <w:sz w:val="21"/>
                <w:szCs w:val="21"/>
                <w:lang w:val="en-US" w:eastAsia="zh-CN"/>
              </w:rPr>
              <w:instrText xml:space="preserve"> = 7 \* GB3 \* MERGEFORMAT </w:instrText>
            </w:r>
            <w:r>
              <w:rPr>
                <w:rFonts w:hint="default" w:ascii="Times New Roman" w:hAnsi="Times New Roman" w:cs="Times New Roman"/>
                <w:color w:val="auto"/>
                <w:sz w:val="21"/>
                <w:szCs w:val="21"/>
                <w:lang w:val="en-US" w:eastAsia="zh-CN"/>
              </w:rPr>
              <w:fldChar w:fldCharType="separate"/>
            </w:r>
            <w:r>
              <w:rPr>
                <w:rFonts w:hint="default" w:ascii="Times New Roman" w:hAnsi="Times New Roman" w:cs="Times New Roman"/>
                <w:color w:val="auto"/>
                <w:sz w:val="21"/>
                <w:szCs w:val="21"/>
                <w:lang w:val="en-US" w:eastAsia="zh-CN"/>
              </w:rPr>
              <w:t>⑦</w:t>
            </w:r>
            <w:r>
              <w:rPr>
                <w:rFonts w:hint="default" w:ascii="Times New Roman" w:hAnsi="Times New Roman" w:cs="Times New Roman"/>
                <w:color w:val="auto"/>
                <w:sz w:val="21"/>
                <w:szCs w:val="21"/>
                <w:lang w:val="en-US" w:eastAsia="zh-CN"/>
              </w:rPr>
              <w:fldChar w:fldCharType="end"/>
            </w:r>
            <w:r>
              <w:rPr>
                <w:rFonts w:hint="default" w:ascii="Times New Roman" w:hAnsi="Times New Roman" w:cs="Times New Roman"/>
                <w:color w:val="auto"/>
                <w:sz w:val="21"/>
                <w:szCs w:val="21"/>
                <w:lang w:val="en-US" w:eastAsia="zh-CN"/>
              </w:rPr>
              <w:t>校园招聘分析(此部分主要数据来源为</w:t>
            </w:r>
            <w:r>
              <w:rPr>
                <w:rFonts w:hint="eastAsia" w:ascii="Times New Roman" w:hAnsi="Times New Roman" w:cs="Times New Roman"/>
                <w:color w:val="auto"/>
                <w:sz w:val="21"/>
                <w:szCs w:val="21"/>
                <w:lang w:val="en-US" w:eastAsia="zh-CN"/>
              </w:rPr>
              <w:t>云就业</w:t>
            </w:r>
            <w:r>
              <w:rPr>
                <w:rFonts w:hint="default" w:ascii="Times New Roman" w:hAnsi="Times New Roman" w:cs="Times New Roman"/>
                <w:color w:val="auto"/>
                <w:sz w:val="21"/>
                <w:szCs w:val="21"/>
                <w:lang w:val="en-US" w:eastAsia="zh-CN"/>
              </w:rPr>
              <w:t>平台)：单位储备情况、参会用人单位情况</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单位地域</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单位行业</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单位性质</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、校园招聘信息</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双选会举办情况</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宣讲会举办情况</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、校招行为对比分析</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招聘与求职途径</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招聘与求职薪资</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招聘与求职困难</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在校经历关注度及获得度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热门招聘需求</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用人单位对专业对口关注度</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毕业生求职过程</w:t>
            </w:r>
            <w:r>
              <w:rPr>
                <w:rFonts w:hint="eastAsia" w:ascii="Times New Roman" w:hAnsi="Times New Roman" w:cs="Times New Roman"/>
                <w:color w:val="auto"/>
                <w:sz w:val="21"/>
                <w:szCs w:val="21"/>
                <w:lang w:val="en-US" w:eastAsia="zh-CN"/>
              </w:rPr>
              <w:t>）。</w:t>
            </w:r>
          </w:p>
          <w:p w14:paraId="263BED6D">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fldChar w:fldCharType="begin"/>
            </w:r>
            <w:r>
              <w:rPr>
                <w:rFonts w:hint="default" w:ascii="Times New Roman" w:hAnsi="Times New Roman" w:cs="Times New Roman"/>
                <w:color w:val="auto"/>
                <w:sz w:val="21"/>
                <w:szCs w:val="21"/>
                <w:lang w:val="en-US" w:eastAsia="zh-CN"/>
              </w:rPr>
              <w:instrText xml:space="preserve"> = 8 \* GB3 \* MERGEFORMAT </w:instrText>
            </w:r>
            <w:r>
              <w:rPr>
                <w:rFonts w:hint="default" w:ascii="Times New Roman" w:hAnsi="Times New Roman" w:cs="Times New Roman"/>
                <w:color w:val="auto"/>
                <w:sz w:val="21"/>
                <w:szCs w:val="21"/>
                <w:lang w:val="en-US" w:eastAsia="zh-CN"/>
              </w:rPr>
              <w:fldChar w:fldCharType="separate"/>
            </w:r>
            <w:r>
              <w:rPr>
                <w:rFonts w:hint="default" w:ascii="Times New Roman" w:hAnsi="Times New Roman" w:cs="Times New Roman"/>
                <w:color w:val="auto"/>
                <w:sz w:val="21"/>
                <w:szCs w:val="21"/>
                <w:lang w:val="en-US" w:eastAsia="zh-CN"/>
              </w:rPr>
              <w:t>⑧</w:t>
            </w:r>
            <w:r>
              <w:rPr>
                <w:rFonts w:hint="default" w:ascii="Times New Roman" w:hAnsi="Times New Roman" w:cs="Times New Roman"/>
                <w:color w:val="auto"/>
                <w:sz w:val="21"/>
                <w:szCs w:val="21"/>
                <w:lang w:val="en-US" w:eastAsia="zh-CN"/>
              </w:rPr>
              <w:fldChar w:fldCharType="end"/>
            </w:r>
            <w:r>
              <w:rPr>
                <w:rFonts w:hint="default" w:ascii="Times New Roman" w:hAnsi="Times New Roman" w:cs="Times New Roman"/>
                <w:color w:val="auto"/>
                <w:sz w:val="21"/>
                <w:szCs w:val="21"/>
                <w:lang w:val="en-US" w:eastAsia="zh-CN"/>
              </w:rPr>
              <w:t>毕业生就业发展趋势</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规模及毕业去向落实率变化趋势、毕业去向变化趋势、行业流向变化趋势、地域流向变化趋势、就业反馈变化趋势</w:t>
            </w:r>
            <w:r>
              <w:rPr>
                <w:rFonts w:hint="eastAsia" w:ascii="Times New Roman" w:hAnsi="Times New Roman" w:cs="Times New Roman"/>
                <w:color w:val="auto"/>
                <w:sz w:val="21"/>
                <w:szCs w:val="21"/>
                <w:lang w:val="en-US" w:eastAsia="zh-CN"/>
              </w:rPr>
              <w:t>。</w:t>
            </w:r>
          </w:p>
          <w:p w14:paraId="23EB5F87">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fldChar w:fldCharType="begin"/>
            </w:r>
            <w:r>
              <w:rPr>
                <w:rFonts w:hint="default" w:ascii="Times New Roman" w:hAnsi="Times New Roman" w:cs="Times New Roman"/>
                <w:color w:val="auto"/>
                <w:sz w:val="21"/>
                <w:szCs w:val="21"/>
                <w:highlight w:val="none"/>
                <w:lang w:val="en-US" w:eastAsia="zh-CN"/>
              </w:rPr>
              <w:instrText xml:space="preserve"> = 9 \* GB3 \* MERGEFORMAT </w:instrText>
            </w:r>
            <w:r>
              <w:rPr>
                <w:rFonts w:hint="default" w:ascii="Times New Roman" w:hAnsi="Times New Roman" w:cs="Times New Roman"/>
                <w:color w:val="auto"/>
                <w:sz w:val="21"/>
                <w:szCs w:val="21"/>
                <w:highlight w:val="none"/>
                <w:lang w:val="en-US" w:eastAsia="zh-CN"/>
              </w:rPr>
              <w:fldChar w:fldCharType="separate"/>
            </w:r>
            <w:r>
              <w:rPr>
                <w:rFonts w:hint="default" w:ascii="Times New Roman" w:hAnsi="Times New Roman" w:cs="Times New Roman"/>
                <w:color w:val="auto"/>
                <w:sz w:val="21"/>
                <w:szCs w:val="21"/>
                <w:highlight w:val="none"/>
                <w:lang w:val="en-US" w:eastAsia="zh-CN"/>
              </w:rPr>
              <w:t>⑨</w:t>
            </w:r>
            <w:r>
              <w:rPr>
                <w:rFonts w:hint="default" w:ascii="Times New Roman" w:hAnsi="Times New Roman" w:cs="Times New Roman"/>
                <w:color w:val="auto"/>
                <w:sz w:val="21"/>
                <w:szCs w:val="21"/>
                <w:highlight w:val="none"/>
                <w:lang w:val="en-US" w:eastAsia="zh-CN"/>
              </w:rPr>
              <w:fldChar w:fldCharType="end"/>
            </w:r>
            <w:r>
              <w:rPr>
                <w:rFonts w:hint="default" w:ascii="Times New Roman" w:hAnsi="Times New Roman" w:cs="Times New Roman"/>
                <w:color w:val="auto"/>
                <w:sz w:val="21"/>
                <w:szCs w:val="21"/>
                <w:highlight w:val="none"/>
                <w:lang w:val="en-US" w:eastAsia="zh-CN"/>
              </w:rPr>
              <w:t>就业创业工作举措</w:t>
            </w:r>
            <w:r>
              <w:rPr>
                <w:rFonts w:hint="eastAsia" w:ascii="Times New Roman" w:hAnsi="Times New Roman" w:cs="Times New Roman"/>
                <w:color w:val="auto"/>
                <w:sz w:val="21"/>
                <w:szCs w:val="21"/>
                <w:highlight w:val="none"/>
                <w:lang w:val="en-US" w:eastAsia="zh-CN"/>
              </w:rPr>
              <w:t>：须报价人提供</w:t>
            </w:r>
            <w:r>
              <w:rPr>
                <w:rFonts w:hint="default" w:ascii="Times New Roman" w:hAnsi="Times New Roman" w:cs="Times New Roman"/>
                <w:color w:val="auto"/>
                <w:sz w:val="21"/>
                <w:szCs w:val="21"/>
                <w:highlight w:val="none"/>
                <w:lang w:val="en-US" w:eastAsia="zh-CN"/>
              </w:rPr>
              <w:t>调研回收情况</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分学院及专业毕业生就业数据综合统计表</w:t>
            </w:r>
            <w:r>
              <w:rPr>
                <w:rFonts w:hint="eastAsia" w:ascii="Times New Roman" w:hAnsi="Times New Roman" w:cs="Times New Roman"/>
                <w:color w:val="auto"/>
                <w:sz w:val="21"/>
                <w:szCs w:val="21"/>
                <w:highlight w:val="none"/>
                <w:lang w:val="en-US" w:eastAsia="zh-CN"/>
              </w:rPr>
              <w:t>。</w:t>
            </w:r>
          </w:p>
          <w:p w14:paraId="41E4CA2A">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项目执行过程中如因采购人工作需求、项目升级等原因导致的大纲调整，则以最终实际执行大纲为准。</w:t>
            </w:r>
          </w:p>
          <w:p w14:paraId="47B968A5">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cs="Times New Roman"/>
                <w:b w:val="0"/>
                <w:bCs w:val="0"/>
                <w:color w:val="auto"/>
                <w:sz w:val="21"/>
                <w:szCs w:val="21"/>
                <w:highlight w:val="yellow"/>
                <w:lang w:val="en-US" w:eastAsia="zh-CN"/>
              </w:rPr>
            </w:pPr>
            <w:r>
              <w:rPr>
                <w:rFonts w:hint="eastAsia" w:ascii="Times New Roman" w:hAnsi="Times New Roman" w:cs="Times New Roman"/>
                <w:b w:val="0"/>
                <w:bCs w:val="0"/>
                <w:color w:val="auto"/>
                <w:sz w:val="21"/>
                <w:szCs w:val="21"/>
                <w:lang w:val="en-US" w:eastAsia="zh-CN"/>
              </w:rPr>
              <w:t>3.《毕业生培养质量评价报告》</w:t>
            </w:r>
            <w:r>
              <w:rPr>
                <w:rFonts w:hint="eastAsia" w:ascii="Times New Roman" w:hAnsi="Times New Roman" w:cs="Times New Roman"/>
                <w:b w:val="0"/>
                <w:bCs w:val="0"/>
                <w:color w:val="auto"/>
                <w:sz w:val="21"/>
                <w:szCs w:val="21"/>
              </w:rPr>
              <w:t>需涵盖但不限于以下</w:t>
            </w:r>
            <w:r>
              <w:rPr>
                <w:rFonts w:hint="eastAsia" w:ascii="Times New Roman" w:hAnsi="Times New Roman" w:cs="Times New Roman"/>
                <w:b w:val="0"/>
                <w:bCs w:val="0"/>
                <w:color w:val="auto"/>
                <w:sz w:val="21"/>
                <w:szCs w:val="21"/>
                <w:lang w:val="en-US" w:eastAsia="zh-CN"/>
              </w:rPr>
              <w:t>六</w:t>
            </w:r>
            <w:r>
              <w:rPr>
                <w:rFonts w:hint="eastAsia" w:ascii="Times New Roman" w:hAnsi="Times New Roman" w:cs="Times New Roman"/>
                <w:b w:val="0"/>
                <w:bCs w:val="0"/>
                <w:color w:val="auto"/>
                <w:sz w:val="21"/>
                <w:szCs w:val="21"/>
              </w:rPr>
              <w:t>大模块</w:t>
            </w:r>
          </w:p>
          <w:p w14:paraId="4B161D29">
            <w:pPr>
              <w:spacing w:line="360" w:lineRule="auto"/>
              <w:jc w:val="left"/>
              <w:rPr>
                <w:rFonts w:hint="eastAsia"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lang w:val="en-US" w:eastAsia="zh-CN"/>
              </w:rPr>
              <w:t>①</w:t>
            </w:r>
            <w:r>
              <w:rPr>
                <w:rFonts w:hint="eastAsia" w:ascii="Times New Roman" w:hAnsi="Times New Roman" w:cs="Times New Roman" w:eastAsiaTheme="majorEastAsia"/>
                <w:color w:val="auto"/>
                <w:szCs w:val="21"/>
                <w:highlight w:val="none"/>
              </w:rPr>
              <w:t>社会需求适应度：包含毕业去向落实率、未就业分析、行业职业匹配度、月收入、就业满意度、专升本比例及质量、区域/行业/雇主贡献等；</w:t>
            </w:r>
          </w:p>
          <w:p w14:paraId="295E9358">
            <w:pPr>
              <w:spacing w:line="360" w:lineRule="auto"/>
              <w:jc w:val="left"/>
              <w:rPr>
                <w:rFonts w:hint="eastAsia"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lang w:val="en-US" w:eastAsia="zh-CN"/>
              </w:rPr>
              <w:t>②</w:t>
            </w:r>
            <w:r>
              <w:rPr>
                <w:rFonts w:hint="eastAsia" w:ascii="Times New Roman" w:hAnsi="Times New Roman" w:cs="Times New Roman" w:eastAsiaTheme="majorEastAsia"/>
                <w:color w:val="auto"/>
                <w:szCs w:val="21"/>
                <w:highlight w:val="none"/>
              </w:rPr>
              <w:t>能力素养达成：包含德育成效、通用能力、专业能力、职业能力、证书获得情况；</w:t>
            </w:r>
          </w:p>
          <w:p w14:paraId="4252DCE6">
            <w:pPr>
              <w:spacing w:line="360" w:lineRule="auto"/>
              <w:jc w:val="left"/>
              <w:rPr>
                <w:rFonts w:hint="eastAsia"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lang w:val="en-US" w:eastAsia="zh-CN"/>
              </w:rPr>
              <w:t>③</w:t>
            </w:r>
            <w:r>
              <w:rPr>
                <w:rFonts w:hint="eastAsia" w:ascii="Times New Roman" w:hAnsi="Times New Roman" w:cs="Times New Roman" w:eastAsiaTheme="majorEastAsia"/>
                <w:color w:val="auto"/>
                <w:szCs w:val="21"/>
                <w:highlight w:val="none"/>
              </w:rPr>
              <w:t>教学培养反馈：包含教学满意度、专业核心课程/实践教学/双创教育评价、教师指导评价；</w:t>
            </w:r>
          </w:p>
          <w:p w14:paraId="1E187056">
            <w:pPr>
              <w:spacing w:line="360" w:lineRule="auto"/>
              <w:jc w:val="left"/>
              <w:rPr>
                <w:rFonts w:hint="eastAsia"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lang w:val="en-US" w:eastAsia="zh-CN"/>
              </w:rPr>
              <w:t>④</w:t>
            </w:r>
            <w:r>
              <w:rPr>
                <w:rFonts w:hint="eastAsia" w:ascii="Times New Roman" w:hAnsi="Times New Roman" w:cs="Times New Roman" w:eastAsiaTheme="majorEastAsia"/>
                <w:color w:val="auto"/>
                <w:szCs w:val="21"/>
                <w:highlight w:val="none"/>
              </w:rPr>
              <w:t>满意度评价：包含校友满意度、校友推荐度、就业服务/学生工作/校园环境反馈；</w:t>
            </w:r>
          </w:p>
          <w:p w14:paraId="7650E945">
            <w:pPr>
              <w:spacing w:line="360" w:lineRule="auto"/>
              <w:jc w:val="left"/>
              <w:rPr>
                <w:rFonts w:hint="eastAsia"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lang w:val="en-US" w:eastAsia="zh-CN"/>
              </w:rPr>
              <w:t>⑤</w:t>
            </w:r>
            <w:r>
              <w:rPr>
                <w:rFonts w:hint="eastAsia" w:ascii="Times New Roman" w:hAnsi="Times New Roman" w:cs="Times New Roman" w:eastAsiaTheme="majorEastAsia"/>
                <w:color w:val="auto"/>
                <w:szCs w:val="21"/>
                <w:highlight w:val="none"/>
              </w:rPr>
              <w:t>专业群建设：针对装备智能化技术、机电设备技术、新能源汽车技术、智能工程机械运用技术、工业互联网应用等专业群，分析社会服务、技术技能人才培养效果与过程；</w:t>
            </w:r>
          </w:p>
          <w:p w14:paraId="0A72C882">
            <w:pPr>
              <w:spacing w:line="360" w:lineRule="auto"/>
              <w:jc w:val="left"/>
              <w:rPr>
                <w:rFonts w:hint="eastAsia" w:ascii="Times New Roman" w:hAnsi="Times New Roman" w:cs="Times New Roman" w:eastAsiaTheme="majorEastAsia"/>
                <w:color w:val="auto"/>
                <w:szCs w:val="21"/>
                <w:highlight w:val="none"/>
                <w:lang w:val="en-US" w:eastAsia="zh-CN"/>
              </w:rPr>
            </w:pPr>
            <w:r>
              <w:rPr>
                <w:rFonts w:hint="eastAsia" w:ascii="Times New Roman" w:hAnsi="Times New Roman" w:cs="Times New Roman" w:eastAsiaTheme="majorEastAsia"/>
                <w:color w:val="auto"/>
                <w:szCs w:val="21"/>
                <w:highlight w:val="none"/>
                <w:lang w:val="en-US" w:eastAsia="zh-CN"/>
              </w:rPr>
              <w:t>⑥</w:t>
            </w:r>
            <w:r>
              <w:rPr>
                <w:rFonts w:hint="eastAsia" w:ascii="Times New Roman" w:hAnsi="Times New Roman" w:cs="Times New Roman" w:eastAsiaTheme="majorEastAsia"/>
                <w:color w:val="auto"/>
                <w:szCs w:val="21"/>
                <w:highlight w:val="none"/>
              </w:rPr>
              <w:t>技术报告：包含项目背景介绍与研究概况。</w:t>
            </w:r>
          </w:p>
          <w:p w14:paraId="1FEC9AF6">
            <w:pPr>
              <w:spacing w:line="360" w:lineRule="auto"/>
              <w:jc w:val="left"/>
              <w:rPr>
                <w:rFonts w:hint="eastAsia"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rPr>
              <w:t>项目执行过程中如因采购人工作需求、项目升级等原因导致的大纲调整，则以最终实际执行大纲为准。</w:t>
            </w:r>
          </w:p>
          <w:p w14:paraId="762D26F7">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4.</w:t>
            </w:r>
            <w:r>
              <w:rPr>
                <w:rFonts w:hint="eastAsia" w:ascii="Times New Roman" w:hAnsi="Times New Roman" w:cs="Times New Roman"/>
                <w:b w:val="0"/>
                <w:bCs w:val="0"/>
                <w:color w:val="auto"/>
                <w:sz w:val="21"/>
                <w:szCs w:val="21"/>
              </w:rPr>
              <w:t>《用人单位满意度调查报告》需涵盖但不限于以下四大模块</w:t>
            </w:r>
          </w:p>
          <w:p w14:paraId="50221334">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①</w:t>
            </w:r>
            <w:r>
              <w:rPr>
                <w:rFonts w:hint="eastAsia" w:ascii="Times New Roman" w:hAnsi="Times New Roman" w:cs="Times New Roman"/>
                <w:color w:val="auto"/>
                <w:sz w:val="21"/>
                <w:szCs w:val="21"/>
                <w:highlight w:val="none"/>
              </w:rPr>
              <w:t>调查概述：包含调查背景、组织形式与调查参与情况；</w:t>
            </w:r>
          </w:p>
          <w:p w14:paraId="75AAAA53">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②</w:t>
            </w:r>
            <w:r>
              <w:rPr>
                <w:rFonts w:hint="eastAsia" w:ascii="Times New Roman" w:hAnsi="Times New Roman" w:cs="Times New Roman"/>
                <w:color w:val="auto"/>
                <w:sz w:val="21"/>
                <w:szCs w:val="21"/>
                <w:highlight w:val="none"/>
              </w:rPr>
              <w:t>满意度分析：包含总体满意度、四模块满意度分析及其他困难与问题；</w:t>
            </w:r>
          </w:p>
          <w:p w14:paraId="3E48F00E">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③</w:t>
            </w:r>
            <w:r>
              <w:rPr>
                <w:rFonts w:hint="eastAsia" w:ascii="Times New Roman" w:hAnsi="Times New Roman" w:cs="Times New Roman"/>
                <w:color w:val="auto"/>
                <w:sz w:val="21"/>
                <w:szCs w:val="21"/>
                <w:highlight w:val="none"/>
              </w:rPr>
              <w:t>对比分析：对比毕业生与用人单位在学校培养、就业支持模块的反馈偏差；</w:t>
            </w:r>
          </w:p>
          <w:p w14:paraId="15DC78EF">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④</w:t>
            </w:r>
            <w:r>
              <w:rPr>
                <w:rFonts w:hint="eastAsia" w:ascii="Times New Roman" w:hAnsi="Times New Roman" w:cs="Times New Roman"/>
                <w:color w:val="auto"/>
                <w:sz w:val="21"/>
                <w:szCs w:val="21"/>
                <w:highlight w:val="none"/>
              </w:rPr>
              <w:t>改善建议：针对毕业生培养、就业服务提出建议。</w:t>
            </w:r>
          </w:p>
          <w:p w14:paraId="34420EE8">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5.</w:t>
            </w:r>
            <w:r>
              <w:rPr>
                <w:rFonts w:hint="eastAsia" w:ascii="Times New Roman" w:hAnsi="Times New Roman" w:cs="Times New Roman"/>
                <w:b w:val="0"/>
                <w:bCs w:val="0"/>
                <w:color w:val="auto"/>
                <w:sz w:val="21"/>
                <w:szCs w:val="21"/>
                <w:highlight w:val="none"/>
              </w:rPr>
              <w:t>《教职工满意度调查报告》需涵盖但不限于以下三大模块</w:t>
            </w:r>
          </w:p>
          <w:p w14:paraId="462542FB">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①</w:t>
            </w:r>
            <w:r>
              <w:rPr>
                <w:rFonts w:hint="eastAsia" w:ascii="Times New Roman" w:hAnsi="Times New Roman" w:cs="Times New Roman"/>
                <w:color w:val="auto"/>
                <w:sz w:val="21"/>
                <w:szCs w:val="21"/>
                <w:highlight w:val="none"/>
              </w:rPr>
              <w:t>调查基本情况：明确调查范围、对象与实施流程；</w:t>
            </w:r>
          </w:p>
          <w:p w14:paraId="3E751BF6">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②</w:t>
            </w:r>
            <w:r>
              <w:rPr>
                <w:rFonts w:hint="eastAsia" w:ascii="Times New Roman" w:hAnsi="Times New Roman" w:cs="Times New Roman"/>
                <w:color w:val="auto"/>
                <w:sz w:val="21"/>
                <w:szCs w:val="21"/>
                <w:highlight w:val="none"/>
              </w:rPr>
              <w:t>数据分析：包含总体满意度，及职能部门教职工、二级学院教职工、双高建设专业群教职工、职业本科教职工的分类满意度分析；</w:t>
            </w:r>
          </w:p>
          <w:p w14:paraId="7C79DBB9">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③</w:t>
            </w:r>
            <w:r>
              <w:rPr>
                <w:rFonts w:hint="eastAsia" w:ascii="Times New Roman" w:hAnsi="Times New Roman" w:cs="Times New Roman"/>
                <w:color w:val="auto"/>
                <w:sz w:val="21"/>
                <w:szCs w:val="21"/>
                <w:highlight w:val="none"/>
              </w:rPr>
              <w:t>提升建议：针对总体满意度、职能部门教职工满意度、二级学院教职工满意度分别提出改进措施。</w:t>
            </w:r>
          </w:p>
          <w:p w14:paraId="5FF9BFD2">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val="en-US" w:eastAsia="zh-CN"/>
              </w:rPr>
              <w:t>6.</w:t>
            </w:r>
            <w:r>
              <w:rPr>
                <w:rFonts w:hint="eastAsia" w:ascii="Times New Roman" w:hAnsi="Times New Roman" w:cs="Times New Roman"/>
                <w:b w:val="0"/>
                <w:bCs w:val="0"/>
                <w:color w:val="auto"/>
                <w:sz w:val="21"/>
                <w:szCs w:val="21"/>
                <w:highlight w:val="none"/>
              </w:rPr>
              <w:t>《家长满意度调查报告》需涵盖但不限于以下四大模块</w:t>
            </w:r>
          </w:p>
          <w:p w14:paraId="12114C76">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①</w:t>
            </w:r>
            <w:r>
              <w:rPr>
                <w:rFonts w:hint="eastAsia" w:ascii="Times New Roman" w:hAnsi="Times New Roman" w:cs="Times New Roman"/>
                <w:color w:val="auto"/>
                <w:sz w:val="21"/>
                <w:szCs w:val="21"/>
                <w:highlight w:val="none"/>
              </w:rPr>
              <w:t>调查总体概览：包含调查背景、目的与意义、实施细节（问卷组成、调查设计、组织形式与调查参与情况）；</w:t>
            </w:r>
          </w:p>
          <w:p w14:paraId="5E154A20">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②</w:t>
            </w:r>
            <w:r>
              <w:rPr>
                <w:rFonts w:hint="eastAsia" w:ascii="Times New Roman" w:hAnsi="Times New Roman" w:cs="Times New Roman"/>
                <w:color w:val="auto"/>
                <w:sz w:val="21"/>
                <w:szCs w:val="21"/>
                <w:highlight w:val="none"/>
              </w:rPr>
              <w:t>满意度分析：包含总体满意度，及学校校园环境、教学资源、沟通反馈、教育教学、学生培养、招生就业服务、学校知名度与影响力等细分模块满意度；</w:t>
            </w:r>
          </w:p>
          <w:p w14:paraId="6B6AF428">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③</w:t>
            </w:r>
            <w:r>
              <w:rPr>
                <w:rFonts w:hint="eastAsia" w:ascii="Times New Roman" w:hAnsi="Times New Roman" w:cs="Times New Roman"/>
                <w:color w:val="auto"/>
                <w:sz w:val="21"/>
                <w:szCs w:val="21"/>
                <w:highlight w:val="none"/>
              </w:rPr>
              <w:t>专项分析：单独分析 “双高计划” 专业群家长满意度、职业本科家长满意度；</w:t>
            </w:r>
          </w:p>
          <w:p w14:paraId="45166B13">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cs="Times New Roman"/>
                <w:color w:val="auto"/>
                <w:sz w:val="21"/>
                <w:szCs w:val="21"/>
                <w:highlight w:val="none"/>
              </w:rPr>
            </w:pPr>
            <w:r>
              <w:rPr>
                <w:rFonts w:hint="eastAsia" w:ascii="Times New Roman" w:hAnsi="Times New Roman" w:cs="Times New Roman" w:eastAsiaTheme="majorEastAsia"/>
                <w:color w:val="auto"/>
                <w:szCs w:val="21"/>
                <w:highlight w:val="none"/>
                <w:lang w:val="en-US" w:eastAsia="zh-CN"/>
              </w:rPr>
              <w:t>④</w:t>
            </w:r>
            <w:r>
              <w:rPr>
                <w:rFonts w:hint="eastAsia" w:ascii="Times New Roman" w:hAnsi="Times New Roman" w:cs="Times New Roman"/>
                <w:color w:val="auto"/>
                <w:sz w:val="21"/>
                <w:szCs w:val="21"/>
                <w:highlight w:val="none"/>
              </w:rPr>
              <w:t>总结与改进：明确家长关注的改进方向，针对各细分模块提出满意度提升建议。</w:t>
            </w:r>
          </w:p>
          <w:p w14:paraId="139CE4E6">
            <w:pPr>
              <w:spacing w:line="360" w:lineRule="auto"/>
              <w:jc w:val="left"/>
              <w:rPr>
                <w:rFonts w:ascii="Times New Roman" w:hAnsi="Times New Roman" w:cs="Times New Roman" w:eastAsiaTheme="majorEastAsia"/>
                <w:b/>
                <w:bCs/>
                <w:szCs w:val="21"/>
              </w:rPr>
            </w:pPr>
            <w:r>
              <w:rPr>
                <w:rFonts w:hint="eastAsia" w:ascii="Times New Roman" w:hAnsi="Times New Roman" w:cs="Times New Roman" w:eastAsiaTheme="majorEastAsia"/>
                <w:b/>
                <w:bCs/>
                <w:szCs w:val="21"/>
                <w:lang w:val="en-US" w:eastAsia="zh-CN"/>
              </w:rPr>
              <w:t>三、</w:t>
            </w:r>
            <w:r>
              <w:rPr>
                <w:rFonts w:hint="eastAsia" w:ascii="Times New Roman" w:hAnsi="Times New Roman" w:cs="Times New Roman" w:eastAsiaTheme="majorEastAsia"/>
                <w:b/>
                <w:bCs/>
                <w:szCs w:val="21"/>
              </w:rPr>
              <w:t>项目交付成果</w:t>
            </w:r>
          </w:p>
          <w:p w14:paraId="5F71411D">
            <w:pPr>
              <w:spacing w:line="360" w:lineRule="auto"/>
              <w:jc w:val="left"/>
              <w:rPr>
                <w:rFonts w:hint="eastAsia" w:ascii="Times New Roman" w:hAnsi="Times New Roman" w:cs="Times New Roman" w:eastAsiaTheme="majorEastAsia"/>
                <w:szCs w:val="21"/>
              </w:rPr>
            </w:pPr>
            <w:r>
              <w:rPr>
                <w:rFonts w:hint="eastAsia" w:ascii="Times New Roman" w:hAnsi="Times New Roman" w:cs="Times New Roman" w:eastAsiaTheme="majorEastAsia"/>
                <w:szCs w:val="21"/>
                <w:lang w:val="en-US" w:eastAsia="zh-CN"/>
              </w:rPr>
              <w:t>1.</w:t>
            </w:r>
            <w:r>
              <w:rPr>
                <w:rFonts w:hint="eastAsia" w:ascii="Times New Roman" w:hAnsi="Times New Roman" w:cs="Times New Roman" w:eastAsiaTheme="majorEastAsia"/>
                <w:szCs w:val="21"/>
              </w:rPr>
              <w:t>《在校生满意度调查问卷》《毕业生满意度调查问卷》《教职工满意度调查问卷》《家长满意度调查问卷》和《用人单位满意度调查问卷》各一套。</w:t>
            </w:r>
          </w:p>
          <w:p w14:paraId="15CE2DC3">
            <w:pPr>
              <w:spacing w:line="360" w:lineRule="auto"/>
              <w:jc w:val="left"/>
              <w:rPr>
                <w:rFonts w:hint="eastAsia" w:ascii="Times New Roman" w:hAnsi="Times New Roman" w:cs="Times New Roman" w:eastAsiaTheme="majorEastAsia"/>
                <w:szCs w:val="21"/>
              </w:rPr>
            </w:pPr>
            <w:r>
              <w:rPr>
                <w:rFonts w:hint="eastAsia" w:ascii="Times New Roman" w:hAnsi="Times New Roman" w:cs="Times New Roman" w:eastAsiaTheme="majorEastAsia"/>
                <w:szCs w:val="21"/>
                <w:lang w:val="en-US" w:eastAsia="zh-CN"/>
              </w:rPr>
              <w:t>2.</w:t>
            </w:r>
            <w:r>
              <w:rPr>
                <w:rFonts w:hint="eastAsia" w:ascii="Times New Roman" w:hAnsi="Times New Roman" w:cs="Times New Roman" w:eastAsiaTheme="majorEastAsia"/>
                <w:szCs w:val="21"/>
              </w:rPr>
              <w:t>《在校生满意度调查报告</w:t>
            </w:r>
            <w:r>
              <w:rPr>
                <w:rFonts w:hint="eastAsia" w:ascii="Times New Roman" w:hAnsi="Times New Roman" w:cs="Times New Roman" w:eastAsiaTheme="majorEastAsia"/>
                <w:b w:val="0"/>
                <w:bCs w:val="0"/>
                <w:color w:val="auto"/>
                <w:szCs w:val="21"/>
              </w:rPr>
              <w:t>》</w:t>
            </w:r>
            <w:r>
              <w:rPr>
                <w:rFonts w:hint="eastAsia" w:ascii="Times New Roman" w:hAnsi="Times New Roman" w:cs="Times New Roman" w:eastAsiaTheme="majorEastAsia"/>
                <w:b w:val="0"/>
                <w:bCs w:val="0"/>
                <w:color w:val="auto"/>
                <w:szCs w:val="21"/>
                <w:lang w:eastAsia="zh-CN"/>
              </w:rPr>
              <w:t>《</w:t>
            </w:r>
            <w:r>
              <w:rPr>
                <w:rFonts w:hint="eastAsia" w:ascii="Times New Roman" w:hAnsi="Times New Roman" w:cs="Times New Roman" w:eastAsiaTheme="majorEastAsia"/>
                <w:b w:val="0"/>
                <w:bCs w:val="0"/>
                <w:color w:val="auto"/>
                <w:szCs w:val="21"/>
                <w:lang w:val="en-US" w:eastAsia="zh-CN"/>
              </w:rPr>
              <w:t>毕业生就业质量报告</w:t>
            </w:r>
            <w:r>
              <w:rPr>
                <w:rFonts w:hint="eastAsia" w:ascii="Times New Roman" w:hAnsi="Times New Roman" w:cs="Times New Roman" w:eastAsiaTheme="majorEastAsia"/>
                <w:b w:val="0"/>
                <w:bCs w:val="0"/>
                <w:color w:val="auto"/>
                <w:szCs w:val="21"/>
                <w:lang w:eastAsia="zh-CN"/>
              </w:rPr>
              <w:t>》</w:t>
            </w:r>
            <w:r>
              <w:rPr>
                <w:rFonts w:hint="eastAsia" w:ascii="Times New Roman" w:hAnsi="Times New Roman" w:cs="Times New Roman" w:eastAsiaTheme="majorEastAsia"/>
                <w:b w:val="0"/>
                <w:bCs w:val="0"/>
                <w:color w:val="auto"/>
                <w:szCs w:val="21"/>
              </w:rPr>
              <w:t>《毕业生</w:t>
            </w:r>
            <w:r>
              <w:rPr>
                <w:rFonts w:hint="eastAsia" w:ascii="Times New Roman" w:hAnsi="Times New Roman" w:cs="Times New Roman" w:eastAsiaTheme="majorEastAsia"/>
                <w:b w:val="0"/>
                <w:bCs w:val="0"/>
                <w:color w:val="auto"/>
                <w:szCs w:val="21"/>
                <w:lang w:val="en-US" w:eastAsia="zh-CN"/>
              </w:rPr>
              <w:t>培养质量</w:t>
            </w:r>
            <w:r>
              <w:rPr>
                <w:rFonts w:hint="eastAsia" w:ascii="Times New Roman" w:hAnsi="Times New Roman" w:cs="Times New Roman" w:eastAsiaTheme="majorEastAsia"/>
                <w:b w:val="0"/>
                <w:bCs w:val="0"/>
                <w:color w:val="auto"/>
                <w:szCs w:val="21"/>
              </w:rPr>
              <w:t>报告》《教</w:t>
            </w:r>
            <w:r>
              <w:rPr>
                <w:rFonts w:hint="eastAsia" w:ascii="Times New Roman" w:hAnsi="Times New Roman" w:cs="Times New Roman" w:eastAsiaTheme="majorEastAsia"/>
                <w:szCs w:val="21"/>
              </w:rPr>
              <w:t>职工满意度调查报告》《家长满意度调查报告》和《用人单位满意度调查报告》单独报告各一套，报告包括不同群体的满意度情况，最满意和最不满意的项目等，报告内容</w:t>
            </w:r>
            <w:r>
              <w:rPr>
                <w:rFonts w:hint="eastAsia" w:ascii="Times New Roman" w:hAnsi="Times New Roman" w:cs="Times New Roman" w:eastAsiaTheme="majorEastAsia"/>
                <w:szCs w:val="21"/>
                <w:lang w:val="en-US" w:eastAsia="zh-CN"/>
              </w:rPr>
              <w:t>须</w:t>
            </w:r>
            <w:r>
              <w:rPr>
                <w:rFonts w:hint="eastAsia" w:ascii="Times New Roman" w:hAnsi="Times New Roman" w:cs="Times New Roman" w:eastAsiaTheme="majorEastAsia"/>
                <w:szCs w:val="21"/>
              </w:rPr>
              <w:t>细化到专业层面，且要有连续三年的数据对比。</w:t>
            </w:r>
          </w:p>
          <w:p w14:paraId="36502341">
            <w:pPr>
              <w:spacing w:line="360" w:lineRule="auto"/>
              <w:jc w:val="left"/>
              <w:rPr>
                <w:rFonts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Cs w:val="21"/>
                <w:highlight w:val="none"/>
                <w:lang w:val="en-US" w:eastAsia="zh-CN"/>
              </w:rPr>
              <w:t>3.</w:t>
            </w:r>
            <w:r>
              <w:rPr>
                <w:rFonts w:hint="eastAsia" w:ascii="Times New Roman" w:hAnsi="Times New Roman" w:cs="Times New Roman" w:eastAsiaTheme="majorEastAsia"/>
                <w:color w:val="auto"/>
                <w:szCs w:val="21"/>
                <w:highlight w:val="none"/>
              </w:rPr>
              <w:t>《在校生满意度调查问卷》《毕业生满意度调查问卷》《教职工满意度调查问卷》《家长满意度调查问卷》和《用人单位满意度调查问卷》原始数据。</w:t>
            </w:r>
          </w:p>
          <w:p w14:paraId="68958AC3">
            <w:pPr>
              <w:spacing w:line="360" w:lineRule="auto"/>
              <w:rPr>
                <w:rFonts w:hint="eastAsia" w:ascii="Times New Roman" w:hAnsi="Times New Roman" w:cs="Times New Roman" w:eastAsiaTheme="majorEastAsia"/>
                <w:color w:val="auto"/>
                <w:szCs w:val="21"/>
              </w:rPr>
            </w:pPr>
            <w:r>
              <w:rPr>
                <w:rFonts w:hint="eastAsia" w:ascii="Times New Roman" w:hAnsi="Times New Roman" w:cs="Times New Roman" w:eastAsiaTheme="majorEastAsia"/>
                <w:color w:val="auto"/>
                <w:szCs w:val="21"/>
                <w:highlight w:val="none"/>
                <w:lang w:val="en-US" w:eastAsia="zh-CN"/>
              </w:rPr>
              <w:t>4.</w:t>
            </w:r>
            <w:r>
              <w:rPr>
                <w:rFonts w:hint="eastAsia" w:ascii="Times New Roman" w:hAnsi="Times New Roman" w:cs="Times New Roman" w:eastAsiaTheme="majorEastAsia"/>
                <w:color w:val="auto"/>
                <w:szCs w:val="21"/>
                <w:highlight w:val="none"/>
              </w:rPr>
              <w:t>《在校生满意度调查发现问题及管理改进方案》《毕业生满意度调查发现问题及管理改进方案》《教职工满意度调查发现问题及管理改进方案》《家长满意度调查发现问题及管理改进方案》和《用人单位满意度调查发现问题及管理改进方案》各一套，方案内容包括对满意度调查</w:t>
            </w:r>
            <w:r>
              <w:rPr>
                <w:rFonts w:hint="eastAsia" w:ascii="Times New Roman" w:hAnsi="Times New Roman" w:cs="Times New Roman" w:eastAsiaTheme="majorEastAsia"/>
                <w:color w:val="auto"/>
                <w:szCs w:val="21"/>
              </w:rPr>
              <w:t>数据次分析以发掘深层次的管理问题，制定系统性可落地的改进实施方案，指导各部门进行改进达成管理和各群体满意度提升效果。</w:t>
            </w:r>
          </w:p>
          <w:p w14:paraId="065E2D7A">
            <w:pPr>
              <w:spacing w:line="360" w:lineRule="auto"/>
              <w:rPr>
                <w:rFonts w:hint="eastAsia" w:ascii="Times New Roman" w:hAnsi="Times New Roman" w:cs="Times New Roman" w:eastAsiaTheme="majorEastAsia"/>
                <w:color w:val="auto"/>
                <w:szCs w:val="21"/>
                <w:highlight w:val="none"/>
                <w:lang w:eastAsia="zh-CN"/>
              </w:rPr>
            </w:pPr>
            <w:r>
              <w:rPr>
                <w:rFonts w:hint="eastAsia" w:ascii="Times New Roman" w:hAnsi="Times New Roman" w:cs="Times New Roman" w:eastAsiaTheme="majorEastAsia"/>
                <w:color w:val="auto"/>
                <w:szCs w:val="21"/>
                <w:highlight w:val="none"/>
                <w:lang w:val="en-US" w:eastAsia="zh-CN"/>
              </w:rPr>
              <w:t>以上材料</w:t>
            </w:r>
            <w:r>
              <w:rPr>
                <w:rFonts w:hint="eastAsia" w:ascii="Times New Roman" w:hAnsi="Times New Roman" w:cs="Times New Roman" w:eastAsiaTheme="majorEastAsia"/>
                <w:color w:val="auto"/>
                <w:szCs w:val="21"/>
                <w:highlight w:val="none"/>
                <w:lang w:eastAsia="zh-CN"/>
              </w:rPr>
              <w:t>用U盘或移动硬盘实体存储装置一式两份交付。U盘或移动硬盘必须是带原厂正规包装且原厂质保期不低于三年，接口为USB3.0及以上。里面必须包括最终交付的成品文件、过程文件、拍摄现场的照片或视频（以证明报价人按合同配备相应的专业人员及设备）。</w:t>
            </w:r>
          </w:p>
          <w:p w14:paraId="22AF39E5">
            <w:pPr>
              <w:pStyle w:val="7"/>
              <w:rPr>
                <w:rFonts w:hint="eastAsia" w:ascii="Times New Roman" w:hAnsi="Times New Roman" w:cs="Times New Roman" w:eastAsiaTheme="majorEastAsia"/>
                <w:b/>
                <w:bCs/>
                <w:kern w:val="2"/>
                <w:sz w:val="21"/>
                <w:szCs w:val="21"/>
                <w:lang w:val="en-US" w:eastAsia="zh-CN" w:bidi="ar-SA"/>
              </w:rPr>
            </w:pPr>
            <w:r>
              <w:rPr>
                <w:rFonts w:hint="eastAsia" w:ascii="Times New Roman" w:hAnsi="Times New Roman" w:cs="Times New Roman" w:eastAsiaTheme="majorEastAsia"/>
                <w:b/>
                <w:bCs/>
                <w:kern w:val="2"/>
                <w:sz w:val="21"/>
                <w:szCs w:val="21"/>
                <w:lang w:val="en-US" w:eastAsia="zh-CN" w:bidi="ar-SA"/>
              </w:rPr>
              <w:t>四、团队要求</w:t>
            </w:r>
          </w:p>
          <w:p w14:paraId="325A6BD2">
            <w:pPr>
              <w:pStyle w:val="7"/>
              <w:rPr>
                <w:rFonts w:ascii="Times New Roman" w:hAnsi="Times New Roman" w:eastAsiaTheme="majorEastAsia"/>
                <w:szCs w:val="21"/>
              </w:rPr>
            </w:pPr>
            <w:r>
              <w:rPr>
                <w:rFonts w:hint="eastAsia" w:ascii="Times New Roman" w:hAnsi="Times New Roman" w:cs="Times New Roman" w:eastAsiaTheme="majorEastAsia"/>
                <w:szCs w:val="21"/>
                <w:lang w:val="en-US" w:eastAsia="zh-CN"/>
              </w:rPr>
              <w:t>1.</w:t>
            </w:r>
            <w:r>
              <w:rPr>
                <w:rFonts w:hint="eastAsia" w:ascii="Times New Roman" w:hAnsi="Times New Roman" w:cs="Times New Roman" w:eastAsiaTheme="majorEastAsia"/>
                <w:szCs w:val="21"/>
              </w:rPr>
              <w:t>项目服务期内提供至少一名咨询师辅导采购人开展项目工作，采购人对项目内容</w:t>
            </w:r>
            <w:r>
              <w:rPr>
                <w:rFonts w:hint="eastAsia" w:ascii="Times New Roman" w:hAnsi="Times New Roman" w:cs="Times New Roman" w:eastAsiaTheme="majorEastAsia"/>
                <w:szCs w:val="21"/>
                <w:lang w:val="en-US" w:eastAsia="zh-CN"/>
              </w:rPr>
              <w:t>如</w:t>
            </w:r>
            <w:r>
              <w:rPr>
                <w:rFonts w:hint="eastAsia" w:ascii="Times New Roman" w:hAnsi="Times New Roman" w:cs="Times New Roman" w:eastAsiaTheme="majorEastAsia"/>
                <w:szCs w:val="21"/>
              </w:rPr>
              <w:t>有疑问</w:t>
            </w:r>
            <w:r>
              <w:rPr>
                <w:rFonts w:hint="eastAsia" w:ascii="Times New Roman" w:hAnsi="Times New Roman" w:cs="Times New Roman" w:eastAsiaTheme="majorEastAsia"/>
                <w:szCs w:val="21"/>
                <w:lang w:val="en-US" w:eastAsia="zh-CN"/>
              </w:rPr>
              <w:t xml:space="preserve"> </w:t>
            </w:r>
            <w:r>
              <w:rPr>
                <w:rFonts w:hint="eastAsia" w:ascii="Times New Roman" w:hAnsi="Times New Roman" w:cs="Times New Roman" w:eastAsiaTheme="majorEastAsia"/>
                <w:szCs w:val="21"/>
              </w:rPr>
              <w:t>，报价人须负责说明。</w:t>
            </w:r>
          </w:p>
          <w:p w14:paraId="769BB7B7">
            <w:pPr>
              <w:spacing w:line="360" w:lineRule="auto"/>
              <w:jc w:val="left"/>
              <w:rPr>
                <w:rFonts w:hint="eastAsia" w:ascii="Times New Roman" w:hAnsi="Times New Roman" w:cs="Times New Roman" w:eastAsiaTheme="majorEastAsia"/>
                <w:szCs w:val="21"/>
              </w:rPr>
            </w:pPr>
            <w:r>
              <w:rPr>
                <w:rFonts w:hint="eastAsia" w:ascii="Times New Roman" w:hAnsi="Times New Roman" w:cs="Times New Roman" w:eastAsiaTheme="majorEastAsia"/>
                <w:szCs w:val="21"/>
                <w:lang w:val="en-US" w:eastAsia="zh-CN"/>
              </w:rPr>
              <w:t>2</w:t>
            </w:r>
            <w:r>
              <w:rPr>
                <w:rFonts w:hint="eastAsia" w:ascii="Times New Roman" w:hAnsi="Times New Roman" w:cs="Times New Roman" w:eastAsiaTheme="majorEastAsia"/>
                <w:szCs w:val="21"/>
              </w:rPr>
              <w:t>.报价人项目团队成员中有高职院校咨询或管理经历</w:t>
            </w:r>
            <w:r>
              <w:rPr>
                <w:rFonts w:hint="eastAsia" w:ascii="Times New Roman" w:hAnsi="Times New Roman" w:cs="Times New Roman" w:eastAsiaTheme="majorEastAsia"/>
                <w:b/>
                <w:szCs w:val="21"/>
              </w:rPr>
              <w:t>（</w:t>
            </w:r>
            <w:r>
              <w:rPr>
                <w:rFonts w:hint="eastAsia" w:ascii="Times New Roman" w:hAnsi="Times New Roman" w:cs="Times New Roman" w:eastAsiaTheme="majorEastAsia"/>
                <w:b/>
                <w:szCs w:val="21"/>
                <w:lang w:val="en-US" w:eastAsia="zh-CN"/>
              </w:rPr>
              <w:t>报价时报价人</w:t>
            </w:r>
            <w:r>
              <w:rPr>
                <w:rFonts w:hint="eastAsia" w:ascii="Times New Roman" w:hAnsi="Times New Roman" w:cs="Times New Roman" w:eastAsiaTheme="majorEastAsia"/>
                <w:b/>
                <w:szCs w:val="21"/>
              </w:rPr>
              <w:t>提供</w:t>
            </w:r>
            <w:r>
              <w:rPr>
                <w:rFonts w:hint="eastAsia" w:ascii="Times New Roman" w:hAnsi="Times New Roman" w:cs="Times New Roman" w:eastAsiaTheme="majorEastAsia"/>
                <w:b/>
                <w:szCs w:val="21"/>
                <w:lang w:val="en-US" w:eastAsia="zh-CN"/>
              </w:rPr>
              <w:t>项目</w:t>
            </w:r>
            <w:r>
              <w:rPr>
                <w:rFonts w:hint="eastAsia" w:ascii="Times New Roman" w:hAnsi="Times New Roman" w:cs="Times New Roman" w:eastAsiaTheme="majorEastAsia"/>
                <w:b/>
                <w:szCs w:val="21"/>
              </w:rPr>
              <w:t>团队人员一览表且附</w:t>
            </w:r>
            <w:r>
              <w:rPr>
                <w:rFonts w:hint="eastAsia" w:ascii="Times New Roman" w:hAnsi="Times New Roman" w:cs="Times New Roman" w:eastAsiaTheme="majorEastAsia"/>
                <w:b/>
                <w:szCs w:val="21"/>
                <w:lang w:val="en-US" w:eastAsia="zh-CN"/>
              </w:rPr>
              <w:t>经历</w:t>
            </w:r>
            <w:r>
              <w:rPr>
                <w:rFonts w:hint="eastAsia" w:ascii="Times New Roman" w:hAnsi="Times New Roman" w:cs="Times New Roman" w:eastAsiaTheme="majorEastAsia"/>
                <w:b/>
                <w:szCs w:val="21"/>
              </w:rPr>
              <w:t>证明材料并加盖公章，如未提供</w:t>
            </w:r>
            <w:r>
              <w:rPr>
                <w:rFonts w:hint="eastAsia" w:ascii="Times New Roman" w:hAnsi="Times New Roman" w:cs="Times New Roman" w:eastAsiaTheme="majorEastAsia"/>
                <w:b/>
                <w:szCs w:val="21"/>
                <w:lang w:val="en-US" w:eastAsia="zh-CN"/>
              </w:rPr>
              <w:t>或材料不全</w:t>
            </w:r>
            <w:r>
              <w:rPr>
                <w:rFonts w:hint="eastAsia" w:ascii="Times New Roman" w:hAnsi="Times New Roman" w:cs="Times New Roman" w:eastAsiaTheme="majorEastAsia"/>
                <w:b/>
                <w:szCs w:val="21"/>
              </w:rPr>
              <w:t>则视为报价无效）</w:t>
            </w:r>
            <w:r>
              <w:rPr>
                <w:rFonts w:hint="eastAsia" w:ascii="Times New Roman" w:hAnsi="Times New Roman" w:cs="Times New Roman" w:eastAsiaTheme="majorEastAsia"/>
                <w:szCs w:val="21"/>
              </w:rPr>
              <w:t>，如有人员变动，报价人须保证同</w:t>
            </w:r>
            <w:r>
              <w:rPr>
                <w:rFonts w:hint="eastAsia" w:ascii="Times New Roman" w:hAnsi="Times New Roman" w:cs="Times New Roman" w:eastAsiaTheme="majorEastAsia"/>
                <w:szCs w:val="21"/>
                <w:lang w:val="en-US" w:eastAsia="zh-CN"/>
              </w:rPr>
              <w:t>等</w:t>
            </w:r>
            <w:r>
              <w:rPr>
                <w:rFonts w:hint="eastAsia" w:ascii="Times New Roman" w:hAnsi="Times New Roman" w:cs="Times New Roman" w:eastAsiaTheme="majorEastAsia"/>
                <w:szCs w:val="21"/>
              </w:rPr>
              <w:t>水平人员跟进项目并且</w:t>
            </w:r>
            <w:r>
              <w:rPr>
                <w:rFonts w:hint="eastAsia" w:ascii="Times New Roman" w:hAnsi="Times New Roman" w:cs="Times New Roman" w:eastAsiaTheme="majorEastAsia"/>
                <w:szCs w:val="21"/>
                <w:lang w:val="en-US" w:eastAsia="zh-CN"/>
              </w:rPr>
              <w:t>须</w:t>
            </w:r>
            <w:r>
              <w:rPr>
                <w:rFonts w:hint="eastAsia" w:ascii="Times New Roman" w:hAnsi="Times New Roman" w:cs="Times New Roman" w:eastAsiaTheme="majorEastAsia"/>
                <w:szCs w:val="21"/>
              </w:rPr>
              <w:t>经采购项目负责人同意</w:t>
            </w:r>
            <w:r>
              <w:rPr>
                <w:rFonts w:hint="eastAsia" w:ascii="Times New Roman" w:hAnsi="Times New Roman" w:cs="Times New Roman" w:eastAsiaTheme="majorEastAsia"/>
                <w:szCs w:val="21"/>
                <w:lang w:val="en-US" w:eastAsia="zh-CN"/>
              </w:rPr>
              <w:t>后</w:t>
            </w:r>
            <w:r>
              <w:rPr>
                <w:rFonts w:hint="eastAsia" w:ascii="Times New Roman" w:hAnsi="Times New Roman" w:cs="Times New Roman" w:eastAsiaTheme="majorEastAsia"/>
                <w:szCs w:val="21"/>
              </w:rPr>
              <w:t>方可变动。</w:t>
            </w:r>
          </w:p>
          <w:p w14:paraId="4B1A0ED0">
            <w:pPr>
              <w:spacing w:line="360" w:lineRule="auto"/>
              <w:jc w:val="left"/>
              <w:rPr>
                <w:rFonts w:hint="eastAsia" w:ascii="Times New Roman" w:hAnsi="Times New Roman" w:cs="Times New Roman" w:eastAsiaTheme="majorEastAsia"/>
                <w:b/>
                <w:bCs/>
                <w:szCs w:val="21"/>
                <w:lang w:val="en-US" w:eastAsia="zh-CN"/>
              </w:rPr>
            </w:pPr>
            <w:r>
              <w:rPr>
                <w:rFonts w:hint="eastAsia" w:ascii="Times New Roman" w:hAnsi="Times New Roman" w:cs="Times New Roman" w:eastAsiaTheme="majorEastAsia"/>
                <w:b/>
                <w:bCs/>
                <w:szCs w:val="21"/>
                <w:lang w:val="en-US" w:eastAsia="zh-CN"/>
              </w:rPr>
              <w:t>五、其他要求</w:t>
            </w:r>
          </w:p>
          <w:p w14:paraId="62C717FF">
            <w:pPr>
              <w:spacing w:line="360" w:lineRule="auto"/>
              <w:jc w:val="left"/>
              <w:rPr>
                <w:rFonts w:hint="eastAsia" w:ascii="Times New Roman" w:hAnsi="Times New Roman" w:cs="Times New Roman" w:eastAsiaTheme="majorEastAsia"/>
                <w:szCs w:val="21"/>
                <w:lang w:val="en-US" w:eastAsia="zh-CN"/>
              </w:rPr>
            </w:pPr>
            <w:r>
              <w:rPr>
                <w:rFonts w:hint="eastAsia" w:ascii="Times New Roman" w:hAnsi="Times New Roman" w:cs="Times New Roman" w:eastAsiaTheme="majorEastAsia"/>
                <w:szCs w:val="21"/>
                <w:lang w:val="en-US" w:eastAsia="zh-CN"/>
              </w:rPr>
              <w:t>1.保密要求</w:t>
            </w:r>
          </w:p>
          <w:p w14:paraId="26B07FCC">
            <w:pPr>
              <w:spacing w:line="360" w:lineRule="auto"/>
              <w:jc w:val="left"/>
              <w:rPr>
                <w:rFonts w:hint="eastAsia" w:ascii="Times New Roman" w:hAnsi="Times New Roman" w:cs="Times New Roman" w:eastAsiaTheme="majorEastAsia"/>
                <w:szCs w:val="21"/>
                <w:highlight w:val="none"/>
              </w:rPr>
            </w:pPr>
            <w:r>
              <w:rPr>
                <w:rFonts w:hint="eastAsia" w:ascii="Times New Roman" w:hAnsi="Times New Roman" w:cs="Times New Roman" w:eastAsiaTheme="majorEastAsia"/>
                <w:szCs w:val="21"/>
              </w:rPr>
              <w:t>报价人承诺能够保证数据的安全性，在该项目执行过程中，保证学校信息安全、师生隐私保护，</w:t>
            </w:r>
            <w:r>
              <w:rPr>
                <w:rFonts w:hint="eastAsia" w:ascii="Times New Roman" w:hAnsi="Times New Roman" w:cs="Times New Roman" w:eastAsiaTheme="majorEastAsia"/>
                <w:szCs w:val="21"/>
                <w:highlight w:val="none"/>
              </w:rPr>
              <w:t>有计划</w:t>
            </w:r>
            <w:r>
              <w:rPr>
                <w:rFonts w:hint="eastAsia" w:ascii="Times New Roman" w:hAnsi="Times New Roman" w:cs="Times New Roman" w:eastAsiaTheme="majorEastAsia"/>
                <w:szCs w:val="21"/>
                <w:highlight w:val="none"/>
                <w:lang w:val="en-US" w:eastAsia="zh-CN"/>
              </w:rPr>
              <w:t>方案</w:t>
            </w:r>
            <w:r>
              <w:rPr>
                <w:rFonts w:hint="eastAsia" w:ascii="Times New Roman" w:hAnsi="Times New Roman" w:cs="Times New Roman" w:eastAsiaTheme="majorEastAsia"/>
                <w:szCs w:val="21"/>
                <w:highlight w:val="none"/>
              </w:rPr>
              <w:t>及信息</w:t>
            </w:r>
            <w:r>
              <w:rPr>
                <w:rFonts w:hint="eastAsia" w:ascii="Times New Roman" w:hAnsi="Times New Roman" w:cs="Times New Roman" w:eastAsiaTheme="majorEastAsia"/>
                <w:szCs w:val="21"/>
                <w:highlight w:val="none"/>
                <w:lang w:val="en-US" w:eastAsia="zh-CN"/>
              </w:rPr>
              <w:t>保</w:t>
            </w:r>
            <w:r>
              <w:rPr>
                <w:rFonts w:hint="eastAsia" w:ascii="Times New Roman" w:hAnsi="Times New Roman" w:cs="Times New Roman" w:eastAsiaTheme="majorEastAsia"/>
                <w:szCs w:val="21"/>
                <w:lang w:val="en-US" w:eastAsia="zh-CN"/>
              </w:rPr>
              <w:t>密</w:t>
            </w:r>
            <w:r>
              <w:rPr>
                <w:rFonts w:hint="eastAsia" w:ascii="Times New Roman" w:hAnsi="Times New Roman" w:cs="Times New Roman" w:eastAsiaTheme="majorEastAsia"/>
                <w:szCs w:val="21"/>
              </w:rPr>
              <w:t>的法律承</w:t>
            </w:r>
            <w:r>
              <w:rPr>
                <w:rFonts w:hint="eastAsia" w:ascii="Times New Roman" w:hAnsi="Times New Roman" w:cs="Times New Roman" w:eastAsiaTheme="majorEastAsia"/>
                <w:szCs w:val="21"/>
                <w:highlight w:val="none"/>
              </w:rPr>
              <w:t>诺</w:t>
            </w:r>
            <w:r>
              <w:rPr>
                <w:rFonts w:hint="eastAsia" w:ascii="Times New Roman" w:hAnsi="Times New Roman" w:cs="Times New Roman" w:eastAsiaTheme="majorEastAsia"/>
                <w:b/>
                <w:bCs/>
                <w:szCs w:val="21"/>
                <w:highlight w:val="none"/>
                <w:lang w:eastAsia="zh-CN"/>
              </w:rPr>
              <w:t>（</w:t>
            </w:r>
            <w:r>
              <w:rPr>
                <w:rFonts w:hint="eastAsia" w:ascii="Times New Roman" w:hAnsi="Times New Roman" w:cs="Times New Roman" w:eastAsiaTheme="majorEastAsia"/>
                <w:b/>
                <w:bCs/>
                <w:szCs w:val="21"/>
                <w:highlight w:val="none"/>
                <w:lang w:val="en-US" w:eastAsia="zh-CN"/>
              </w:rPr>
              <w:t>报价时报价人提供计划方案内容及信息保密承诺书（格式自拟），</w:t>
            </w:r>
            <w:r>
              <w:rPr>
                <w:rFonts w:hint="eastAsia" w:ascii="Times New Roman" w:hAnsi="Times New Roman" w:cs="Times New Roman" w:eastAsiaTheme="majorEastAsia"/>
                <w:b/>
                <w:bCs/>
                <w:szCs w:val="21"/>
                <w:highlight w:val="none"/>
              </w:rPr>
              <w:t>如</w:t>
            </w:r>
            <w:r>
              <w:rPr>
                <w:rFonts w:hint="eastAsia" w:ascii="Times New Roman" w:hAnsi="Times New Roman" w:cs="Times New Roman" w:eastAsiaTheme="majorEastAsia"/>
                <w:b/>
                <w:szCs w:val="21"/>
                <w:highlight w:val="none"/>
              </w:rPr>
              <w:t>未提供</w:t>
            </w:r>
            <w:r>
              <w:rPr>
                <w:rFonts w:hint="eastAsia" w:ascii="Times New Roman" w:hAnsi="Times New Roman" w:cs="Times New Roman" w:eastAsiaTheme="majorEastAsia"/>
                <w:b/>
                <w:szCs w:val="21"/>
                <w:highlight w:val="none"/>
                <w:lang w:val="en-US" w:eastAsia="zh-CN"/>
              </w:rPr>
              <w:t>或材料不全</w:t>
            </w:r>
            <w:r>
              <w:rPr>
                <w:rFonts w:hint="eastAsia" w:ascii="Times New Roman" w:hAnsi="Times New Roman" w:cs="Times New Roman" w:eastAsiaTheme="majorEastAsia"/>
                <w:b/>
                <w:szCs w:val="21"/>
                <w:highlight w:val="none"/>
              </w:rPr>
              <w:t>则视为报价无效</w:t>
            </w:r>
            <w:r>
              <w:rPr>
                <w:rFonts w:hint="eastAsia" w:ascii="Times New Roman" w:hAnsi="Times New Roman" w:cs="Times New Roman" w:eastAsiaTheme="majorEastAsia"/>
                <w:szCs w:val="21"/>
                <w:highlight w:val="none"/>
                <w:lang w:eastAsia="zh-CN"/>
              </w:rPr>
              <w:t>）</w:t>
            </w:r>
            <w:r>
              <w:rPr>
                <w:rFonts w:hint="eastAsia" w:ascii="Times New Roman" w:hAnsi="Times New Roman" w:cs="Times New Roman" w:eastAsiaTheme="majorEastAsia"/>
                <w:szCs w:val="21"/>
                <w:highlight w:val="none"/>
              </w:rPr>
              <w:t>。</w:t>
            </w:r>
          </w:p>
          <w:p w14:paraId="385FE245">
            <w:pPr>
              <w:pStyle w:val="7"/>
              <w:numPr>
                <w:ilvl w:val="0"/>
                <w:numId w:val="2"/>
              </w:numPr>
              <w:spacing w:line="360" w:lineRule="auto"/>
              <w:rPr>
                <w:rFonts w:hint="eastAsia" w:ascii="Times New Roman" w:hAnsi="Times New Roman" w:cs="Times New Roman" w:eastAsiaTheme="majorEastAsia"/>
                <w:szCs w:val="21"/>
                <w:highlight w:val="none"/>
                <w:lang w:val="en-US" w:eastAsia="zh-CN"/>
              </w:rPr>
            </w:pPr>
            <w:r>
              <w:rPr>
                <w:rFonts w:hint="eastAsia" w:ascii="Times New Roman" w:hAnsi="Times New Roman" w:cs="Times New Roman" w:eastAsiaTheme="majorEastAsia"/>
                <w:szCs w:val="21"/>
                <w:highlight w:val="none"/>
                <w:lang w:val="en-US" w:eastAsia="zh-CN"/>
              </w:rPr>
              <w:t>售后要求</w:t>
            </w:r>
          </w:p>
          <w:p w14:paraId="2A081A64">
            <w:pPr>
              <w:pStyle w:val="7"/>
              <w:numPr>
                <w:ilvl w:val="0"/>
                <w:numId w:val="0"/>
              </w:numPr>
              <w:spacing w:line="360" w:lineRule="auto"/>
              <w:rPr>
                <w:rFonts w:ascii="Times New Roman" w:hAnsi="Times New Roman" w:cs="Times New Roman" w:eastAsiaTheme="majorEastAsia"/>
                <w:szCs w:val="21"/>
                <w:highlight w:val="none"/>
              </w:rPr>
            </w:pPr>
            <w:r>
              <w:rPr>
                <w:rFonts w:hint="eastAsia" w:ascii="Times New Roman" w:hAnsi="Times New Roman" w:cs="Times New Roman" w:eastAsiaTheme="majorEastAsia"/>
                <w:szCs w:val="21"/>
                <w:highlight w:val="none"/>
              </w:rPr>
              <w:t>包含但不限于帮助采购人根据满意度调查结果调整管理弱项、分析并优化满意度</w:t>
            </w:r>
            <w:r>
              <w:rPr>
                <w:rFonts w:hint="eastAsia" w:ascii="Times New Roman" w:hAnsi="Times New Roman" w:cs="Times New Roman" w:eastAsiaTheme="majorEastAsia"/>
                <w:szCs w:val="21"/>
                <w:highlight w:val="none"/>
                <w:lang w:val="en-US" w:eastAsia="zh-CN"/>
              </w:rPr>
              <w:t>结果</w:t>
            </w:r>
            <w:r>
              <w:rPr>
                <w:rFonts w:hint="eastAsia" w:ascii="Times New Roman" w:hAnsi="Times New Roman" w:cs="Times New Roman" w:eastAsiaTheme="majorEastAsia"/>
                <w:szCs w:val="21"/>
                <w:highlight w:val="none"/>
              </w:rPr>
              <w:t>数据、分析并总结其他</w:t>
            </w:r>
            <w:r>
              <w:rPr>
                <w:rFonts w:hint="eastAsia" w:ascii="Times New Roman" w:hAnsi="Times New Roman" w:cs="Times New Roman" w:eastAsiaTheme="majorEastAsia"/>
                <w:szCs w:val="21"/>
                <w:highlight w:val="none"/>
                <w:lang w:val="en-US" w:eastAsia="zh-CN"/>
              </w:rPr>
              <w:t>项目</w:t>
            </w:r>
            <w:r>
              <w:rPr>
                <w:rFonts w:hint="eastAsia" w:ascii="Times New Roman" w:hAnsi="Times New Roman" w:cs="Times New Roman" w:eastAsiaTheme="majorEastAsia"/>
                <w:szCs w:val="21"/>
                <w:highlight w:val="none"/>
              </w:rPr>
              <w:t>满意度调查结果。</w:t>
            </w:r>
          </w:p>
          <w:p w14:paraId="6D9D0C26">
            <w:pPr>
              <w:pStyle w:val="7"/>
              <w:rPr>
                <w:rFonts w:hint="default" w:cs="Times New Roman"/>
                <w:sz w:val="24"/>
                <w:szCs w:val="24"/>
                <w:lang w:val="en-US" w:eastAsia="zh-CN"/>
              </w:rPr>
            </w:pPr>
          </w:p>
        </w:tc>
        <w:tc>
          <w:tcPr>
            <w:tcW w:w="375" w:type="dxa"/>
            <w:shd w:val="clear" w:color="auto" w:fill="auto"/>
            <w:noWrap/>
          </w:tcPr>
          <w:p w14:paraId="766D8B44">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1</w:t>
            </w:r>
          </w:p>
        </w:tc>
        <w:tc>
          <w:tcPr>
            <w:tcW w:w="465" w:type="dxa"/>
            <w:shd w:val="clear" w:color="auto" w:fill="auto"/>
            <w:noWrap/>
          </w:tcPr>
          <w:p w14:paraId="64E6022E">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项</w:t>
            </w:r>
          </w:p>
        </w:tc>
      </w:tr>
      <w:tr w14:paraId="26F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6FB1BEA5">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3A39C100">
            <w:pPr>
              <w:pStyle w:val="7"/>
              <w:rPr>
                <w:rFonts w:hint="eastAsia" w:ascii="Times New Roman" w:hAnsi="Times New Roman" w:cs="Times New Roman" w:eastAsiaTheme="majorEastAsia"/>
                <w:color w:val="auto"/>
                <w:kern w:val="0"/>
                <w:sz w:val="21"/>
                <w:szCs w:val="21"/>
              </w:rPr>
            </w:pPr>
            <w:r>
              <w:rPr>
                <w:rFonts w:hint="eastAsia" w:cs="Times New Roman"/>
                <w:sz w:val="21"/>
                <w:szCs w:val="21"/>
              </w:rPr>
              <w:t>1.</w:t>
            </w:r>
            <w:r>
              <w:rPr>
                <w:rFonts w:hint="eastAsia" w:cs="Times New Roman"/>
                <w:b/>
                <w:bCs/>
                <w:sz w:val="21"/>
                <w:szCs w:val="21"/>
              </w:rPr>
              <w:t>服务交付时间</w:t>
            </w:r>
            <w:r>
              <w:rPr>
                <w:rFonts w:hint="eastAsia" w:cs="Times New Roman"/>
                <w:sz w:val="21"/>
                <w:szCs w:val="21"/>
              </w:rPr>
              <w:t>：签订合同之日起</w:t>
            </w:r>
            <w:r>
              <w:rPr>
                <w:rFonts w:hint="eastAsia" w:cs="Times New Roman"/>
                <w:b/>
                <w:bCs/>
                <w:sz w:val="21"/>
                <w:szCs w:val="21"/>
                <w:u w:val="single"/>
              </w:rPr>
              <w:t>30日内</w:t>
            </w:r>
            <w:r>
              <w:rPr>
                <w:rFonts w:hint="eastAsia" w:cs="Times New Roman"/>
                <w:sz w:val="21"/>
                <w:szCs w:val="21"/>
              </w:rPr>
              <w:t>交付所有调查报告的所需数据；签订合同之日起</w:t>
            </w:r>
            <w:r>
              <w:rPr>
                <w:rFonts w:hint="eastAsia" w:cs="Times New Roman"/>
                <w:b/>
                <w:bCs/>
                <w:sz w:val="21"/>
                <w:szCs w:val="21"/>
                <w:u w:val="single"/>
              </w:rPr>
              <w:t>150日内</w:t>
            </w:r>
            <w:r>
              <w:rPr>
                <w:rFonts w:hint="eastAsia" w:cs="Times New Roman"/>
                <w:sz w:val="21"/>
                <w:szCs w:val="21"/>
              </w:rPr>
              <w:t>交付所有服务内容并验收合格。</w:t>
            </w:r>
          </w:p>
          <w:p w14:paraId="5B7D157B">
            <w:pPr>
              <w:spacing w:line="360" w:lineRule="auto"/>
              <w:jc w:val="left"/>
              <w:rPr>
                <w:rFonts w:cs="Times New Roman"/>
                <w:color w:val="auto"/>
                <w:sz w:val="21"/>
                <w:szCs w:val="21"/>
              </w:rPr>
            </w:pPr>
            <w:r>
              <w:rPr>
                <w:rFonts w:hint="eastAsia" w:cs="Times New Roman"/>
                <w:b/>
                <w:bCs/>
                <w:color w:val="auto"/>
                <w:sz w:val="21"/>
                <w:szCs w:val="21"/>
              </w:rPr>
              <w:t>服务期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2</w:t>
            </w:r>
            <w:r>
              <w:rPr>
                <w:rFonts w:hint="eastAsia" w:cs="Times New Roman"/>
                <w:b/>
                <w:bCs/>
                <w:color w:val="auto"/>
                <w:sz w:val="21"/>
                <w:szCs w:val="21"/>
                <w:u w:val="single"/>
              </w:rPr>
              <w:t>年</w:t>
            </w:r>
            <w:r>
              <w:rPr>
                <w:rFonts w:hint="eastAsia" w:cs="Times New Roman"/>
                <w:color w:val="auto"/>
                <w:sz w:val="21"/>
                <w:szCs w:val="21"/>
              </w:rPr>
              <w:t>。</w:t>
            </w:r>
          </w:p>
          <w:p w14:paraId="7DDA5D31">
            <w:pPr>
              <w:spacing w:line="360" w:lineRule="auto"/>
              <w:jc w:val="left"/>
              <w:rPr>
                <w:rFonts w:cs="Times New Roman"/>
                <w:color w:val="auto"/>
                <w:sz w:val="21"/>
                <w:szCs w:val="21"/>
              </w:rPr>
            </w:pPr>
            <w:r>
              <w:rPr>
                <w:rFonts w:hint="eastAsia" w:cs="Times New Roman"/>
                <w:b/>
                <w:bCs/>
                <w:color w:val="auto"/>
                <w:sz w:val="21"/>
                <w:szCs w:val="21"/>
              </w:rPr>
              <w:t>质保期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2</w:t>
            </w:r>
            <w:r>
              <w:rPr>
                <w:rFonts w:hint="eastAsia" w:cs="Times New Roman"/>
                <w:b/>
                <w:bCs/>
                <w:color w:val="auto"/>
                <w:sz w:val="21"/>
                <w:szCs w:val="21"/>
                <w:u w:val="single"/>
              </w:rPr>
              <w:t>年</w:t>
            </w:r>
            <w:r>
              <w:rPr>
                <w:rFonts w:hint="eastAsia" w:cs="Times New Roman"/>
                <w:color w:val="auto"/>
                <w:sz w:val="21"/>
                <w:szCs w:val="21"/>
              </w:rPr>
              <w:t xml:space="preserve">。 </w:t>
            </w:r>
          </w:p>
          <w:p w14:paraId="3EF726CB">
            <w:pPr>
              <w:pStyle w:val="7"/>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5A9616EB">
            <w:pPr>
              <w:pStyle w:val="7"/>
              <w:rPr>
                <w:rFonts w:cs="Times New Roman"/>
                <w:sz w:val="21"/>
                <w:szCs w:val="21"/>
              </w:rPr>
            </w:pPr>
            <w:r>
              <w:rPr>
                <w:rFonts w:hint="eastAsia" w:cs="Times New Roman"/>
                <w:sz w:val="21"/>
                <w:szCs w:val="21"/>
              </w:rPr>
              <w:t>（1）电话、线上咨询。报价人为采购人提供技术援助，解答采购人在使用中遇到的问题，及时为采购人提出解决问题的方案。</w:t>
            </w:r>
          </w:p>
          <w:p w14:paraId="68FCA372">
            <w:pPr>
              <w:pStyle w:val="7"/>
              <w:spacing w:line="360" w:lineRule="auto"/>
              <w:rPr>
                <w:rFonts w:ascii="Times New Roman" w:hAnsi="Times New Roman" w:cs="Times New Roman" w:eastAsiaTheme="majorEastAsia"/>
                <w:szCs w:val="21"/>
              </w:rPr>
            </w:pPr>
            <w:r>
              <w:rPr>
                <w:rFonts w:hint="eastAsia" w:cs="Times New Roman"/>
                <w:sz w:val="21"/>
                <w:szCs w:val="21"/>
              </w:rPr>
              <w:t>（2）</w:t>
            </w:r>
            <w:r>
              <w:rPr>
                <w:rFonts w:hint="eastAsia" w:cs="Times New Roman"/>
                <w:sz w:val="21"/>
                <w:szCs w:val="21"/>
                <w:lang w:val="en-US" w:eastAsia="zh-CN"/>
              </w:rPr>
              <w:t>服务</w:t>
            </w:r>
            <w:r>
              <w:rPr>
                <w:rFonts w:hint="eastAsia" w:cs="Times New Roman"/>
                <w:sz w:val="21"/>
                <w:szCs w:val="21"/>
              </w:rPr>
              <w:t>响应时间：</w:t>
            </w:r>
            <w:r>
              <w:rPr>
                <w:rFonts w:hint="eastAsia" w:ascii="Times New Roman" w:hAnsi="Times New Roman" w:cs="Times New Roman" w:eastAsiaTheme="majorEastAsia"/>
                <w:szCs w:val="21"/>
              </w:rPr>
              <w:t>接到采购人联系电话</w:t>
            </w:r>
            <w:r>
              <w:rPr>
                <w:rFonts w:hint="eastAsia" w:ascii="Times New Roman" w:hAnsi="Times New Roman" w:cs="Times New Roman" w:eastAsiaTheme="majorEastAsia"/>
                <w:szCs w:val="21"/>
                <w:lang w:val="en-US" w:eastAsia="zh-CN"/>
              </w:rPr>
              <w:t>之时起</w:t>
            </w:r>
            <w:r>
              <w:rPr>
                <w:rFonts w:hint="eastAsia" w:ascii="Times New Roman" w:hAnsi="Times New Roman" w:cs="Times New Roman" w:eastAsiaTheme="majorEastAsia"/>
                <w:szCs w:val="21"/>
              </w:rPr>
              <w:t>8小时内响应，根据采购人需求调整调查方案、修改调查报告等，满足采购人提出的其他相关需求。</w:t>
            </w:r>
          </w:p>
          <w:p w14:paraId="65E655FF">
            <w:pPr>
              <w:pStyle w:val="7"/>
              <w:spacing w:line="360" w:lineRule="auto"/>
              <w:rPr>
                <w:rFonts w:hint="eastAsia" w:ascii="Times New Roman" w:hAnsi="Times New Roman" w:cs="Times New Roman" w:eastAsiaTheme="majorEastAsia"/>
                <w:szCs w:val="21"/>
              </w:rPr>
            </w:pPr>
            <w:r>
              <w:rPr>
                <w:rFonts w:hint="eastAsia" w:cs="Times New Roman"/>
                <w:sz w:val="21"/>
                <w:szCs w:val="21"/>
                <w:lang w:eastAsia="zh-CN"/>
              </w:rPr>
              <w:t>（</w:t>
            </w:r>
            <w:r>
              <w:rPr>
                <w:rFonts w:hint="eastAsia" w:cs="Times New Roman"/>
                <w:sz w:val="21"/>
                <w:szCs w:val="21"/>
                <w:lang w:val="en-US" w:eastAsia="zh-CN"/>
              </w:rPr>
              <w:t>3</w:t>
            </w:r>
            <w:r>
              <w:rPr>
                <w:rFonts w:hint="eastAsia" w:cs="Times New Roman"/>
                <w:sz w:val="21"/>
                <w:szCs w:val="21"/>
                <w:lang w:eastAsia="zh-CN"/>
              </w:rPr>
              <w:t>）</w:t>
            </w:r>
            <w:r>
              <w:rPr>
                <w:rFonts w:hint="eastAsia" w:cs="Times New Roman"/>
                <w:sz w:val="21"/>
                <w:szCs w:val="21"/>
              </w:rPr>
              <w:t>质保期内报价人应免费为采购人</w:t>
            </w:r>
            <w:r>
              <w:rPr>
                <w:rFonts w:hint="eastAsia" w:cs="Times New Roman"/>
                <w:sz w:val="21"/>
                <w:szCs w:val="21"/>
                <w:lang w:val="en-US" w:eastAsia="zh-CN"/>
              </w:rPr>
              <w:t>提供</w:t>
            </w:r>
            <w:r>
              <w:rPr>
                <w:rFonts w:hint="eastAsia" w:ascii="Times New Roman" w:hAnsi="Times New Roman" w:cs="Times New Roman" w:eastAsiaTheme="majorEastAsia"/>
                <w:szCs w:val="21"/>
              </w:rPr>
              <w:t>包含但不限于帮助采购人根据满意度调查结果调整管理弱项、分析并优化满意度数据、分析并总结其他部门其他满意度调查结果</w:t>
            </w:r>
            <w:r>
              <w:rPr>
                <w:rFonts w:hint="eastAsia" w:ascii="Times New Roman" w:hAnsi="Times New Roman" w:cs="Times New Roman" w:eastAsiaTheme="majorEastAsia"/>
                <w:szCs w:val="21"/>
                <w:lang w:eastAsia="zh-CN"/>
              </w:rPr>
              <w:t>的</w:t>
            </w:r>
            <w:r>
              <w:rPr>
                <w:rFonts w:hint="eastAsia" w:ascii="Times New Roman" w:hAnsi="Times New Roman" w:cs="Times New Roman" w:eastAsiaTheme="majorEastAsia"/>
                <w:szCs w:val="21"/>
                <w:lang w:val="en-US" w:eastAsia="zh-CN"/>
              </w:rPr>
              <w:t>服务</w:t>
            </w:r>
            <w:r>
              <w:rPr>
                <w:rFonts w:hint="eastAsia" w:ascii="Times New Roman" w:hAnsi="Times New Roman" w:cs="Times New Roman" w:eastAsiaTheme="majorEastAsia"/>
                <w:szCs w:val="21"/>
              </w:rPr>
              <w:t>。</w:t>
            </w:r>
          </w:p>
          <w:p w14:paraId="583CB988">
            <w:pPr>
              <w:pStyle w:val="7"/>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bCs/>
                <w:sz w:val="21"/>
                <w:szCs w:val="21"/>
                <w:lang w:val="en-US" w:eastAsia="zh-CN"/>
              </w:rPr>
              <w:t>知识产权</w:t>
            </w:r>
          </w:p>
          <w:p w14:paraId="5A9DBEEB">
            <w:pPr>
              <w:pStyle w:val="7"/>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w:t>
            </w:r>
            <w:r>
              <w:rPr>
                <w:rFonts w:hint="eastAsia" w:cs="Times New Roman"/>
                <w:sz w:val="21"/>
                <w:szCs w:val="21"/>
                <w:lang w:val="en-US" w:eastAsia="zh-CN"/>
              </w:rPr>
              <w:t>采购人</w:t>
            </w:r>
            <w:r>
              <w:rPr>
                <w:rFonts w:hint="eastAsia" w:cs="Times New Roman"/>
                <w:sz w:val="21"/>
                <w:szCs w:val="21"/>
              </w:rPr>
              <w:t>的书面许可，报价人不得以任何方式商业性地利用上述资料和技术。</w:t>
            </w:r>
          </w:p>
          <w:p w14:paraId="6173D7F3">
            <w:pPr>
              <w:pStyle w:val="7"/>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520" w:lineRule="exact"/>
              <w:jc w:val="left"/>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4.</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5744B91E">
            <w:pPr>
              <w:widowControl/>
              <w:numPr>
                <w:ilvl w:val="0"/>
                <w:numId w:val="0"/>
              </w:numPr>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w:t>
            </w:r>
            <w:r>
              <w:rPr>
                <w:rFonts w:ascii="Arial" w:hAnsi="Arial" w:eastAsia="宋体" w:cs="Arial"/>
                <w:color w:val="auto"/>
                <w:kern w:val="0"/>
                <w:sz w:val="21"/>
                <w:szCs w:val="21"/>
              </w:rPr>
              <w:t>票后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个工作日</w:t>
            </w:r>
            <w:r>
              <w:rPr>
                <w:rFonts w:ascii="Arial" w:hAnsi="Arial" w:eastAsia="宋体" w:cs="Arial"/>
                <w:color w:val="auto"/>
                <w:kern w:val="0"/>
                <w:sz w:val="21"/>
                <w:szCs w:val="21"/>
              </w:rPr>
              <w:t>内</w:t>
            </w:r>
            <w:r>
              <w:rPr>
                <w:rFonts w:hint="eastAsia" w:ascii="Arial" w:hAnsi="Arial" w:eastAsia="宋体" w:cs="Arial"/>
                <w:color w:val="auto"/>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52F12789">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转账时注明：</w:t>
            </w:r>
            <w:r>
              <w:rPr>
                <w:rFonts w:hint="eastAsia" w:ascii="Arial" w:hAnsi="Arial" w:cs="Arial"/>
                <w:kern w:val="0"/>
                <w:szCs w:val="21"/>
              </w:rPr>
              <w:t>2025年学校满意度调查问卷报告编制及过程服务</w:t>
            </w:r>
            <w:r>
              <w:rPr>
                <w:rFonts w:hint="eastAsia" w:ascii="Arial" w:hAnsi="Arial" w:cs="Arial"/>
                <w:kern w:val="0"/>
                <w:szCs w:val="21"/>
                <w:lang w:val="en-US" w:eastAsia="zh-CN"/>
              </w:rPr>
              <w:t>采购</w:t>
            </w:r>
            <w:r>
              <w:rPr>
                <w:rFonts w:hint="eastAsia" w:ascii="Arial" w:hAnsi="Arial" w:eastAsia="宋体" w:cs="Arial"/>
                <w:b w:val="0"/>
                <w:bCs/>
                <w:kern w:val="0"/>
                <w:sz w:val="21"/>
                <w:szCs w:val="21"/>
              </w:rPr>
              <w:t>项目，采购编号</w:t>
            </w:r>
            <w:r>
              <w:rPr>
                <w:rFonts w:hint="eastAsia" w:ascii="Arial" w:hAnsi="Arial" w:eastAsia="宋体" w:cs="Arial"/>
                <w:b/>
                <w:bCs w:val="0"/>
                <w:color w:val="auto"/>
                <w:kern w:val="0"/>
                <w:sz w:val="21"/>
                <w:szCs w:val="21"/>
                <w:lang w:val="en-US" w:eastAsia="zh-CN"/>
              </w:rPr>
              <w:t>LZPU2025-34</w:t>
            </w:r>
            <w:r>
              <w:rPr>
                <w:rFonts w:hint="eastAsia" w:ascii="Arial" w:hAnsi="Arial" w:eastAsia="宋体" w:cs="Arial"/>
                <w:b w:val="0"/>
                <w:bCs/>
                <w:color w:val="FF0000"/>
                <w:kern w:val="0"/>
                <w:sz w:val="21"/>
                <w:szCs w:val="21"/>
              </w:rPr>
              <w:t xml:space="preserve"> </w:t>
            </w:r>
            <w:r>
              <w:rPr>
                <w:rFonts w:hint="eastAsia" w:ascii="Arial" w:hAnsi="Arial" w:eastAsia="宋体" w:cs="Arial"/>
                <w:b w:val="0"/>
                <w:bCs/>
                <w:kern w:val="0"/>
                <w:sz w:val="21"/>
                <w:szCs w:val="21"/>
              </w:rPr>
              <w:t>履约保证金</w:t>
            </w:r>
          </w:p>
          <w:p w14:paraId="4D5F73AF">
            <w:pPr>
              <w:widowControl/>
              <w:adjustRightInd w:val="0"/>
              <w:snapToGrid w:val="0"/>
              <w:spacing w:line="520" w:lineRule="exact"/>
              <w:jc w:val="left"/>
              <w:rPr>
                <w:rFonts w:hint="eastAsia" w:cs="Times New Roman"/>
                <w:sz w:val="21"/>
                <w:szCs w:val="21"/>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rPr>
                <w:rFonts w:hint="eastAsia" w:cs="Times New Roman"/>
                <w:b/>
                <w:bCs/>
                <w:sz w:val="21"/>
                <w:szCs w:val="21"/>
                <w:lang w:val="en-US" w:eastAsia="zh-CN"/>
              </w:rPr>
            </w:pPr>
            <w:r>
              <w:rPr>
                <w:rFonts w:hint="eastAsia" w:cs="Times New Roman"/>
                <w:b/>
                <w:bCs/>
                <w:sz w:val="21"/>
                <w:szCs w:val="21"/>
                <w:lang w:val="en-US" w:eastAsia="zh-CN"/>
              </w:rPr>
              <w:t>6.验收要求</w:t>
            </w:r>
          </w:p>
          <w:p w14:paraId="7648E5EF">
            <w:pPr>
              <w:widowControl/>
              <w:spacing w:line="360" w:lineRule="auto"/>
              <w:jc w:val="both"/>
              <w:textAlignment w:val="center"/>
              <w:rPr>
                <w:rStyle w:val="36"/>
                <w:rFonts w:hint="default"/>
                <w:sz w:val="21"/>
                <w:szCs w:val="21"/>
                <w:lang w:bidi="ar"/>
              </w:rPr>
            </w:pPr>
            <w:r>
              <w:rPr>
                <w:rFonts w:hint="eastAsia" w:cs="Times New Roman"/>
                <w:sz w:val="21"/>
                <w:szCs w:val="21"/>
                <w:lang w:val="en-US" w:eastAsia="zh-CN"/>
              </w:rPr>
              <w:t>（1）报价人提供的项目实施方案及售后服务等承诺内容在合同实施阶段必须严格执行。报价人应认真对待方案和承诺内容，确保其真实性和可操作性，否则将承担相应的法律责任和违约后果。交付验收标准依次序对照适用标准为：</w:t>
            </w:r>
            <w:r>
              <w:rPr>
                <w:rStyle w:val="36"/>
                <w:rFonts w:hint="default"/>
                <w:sz w:val="21"/>
                <w:szCs w:val="21"/>
                <w:lang w:bidi="ar"/>
              </w:rPr>
              <w:t>①符合现行国家相关标准、行业标准、地方标准或者其他标准、规范；②符合</w:t>
            </w:r>
            <w:r>
              <w:rPr>
                <w:rStyle w:val="36"/>
                <w:rFonts w:hint="eastAsia" w:eastAsia="宋体"/>
                <w:sz w:val="21"/>
                <w:szCs w:val="21"/>
                <w:lang w:val="en-US" w:eastAsia="zh-CN" w:bidi="ar"/>
              </w:rPr>
              <w:t>采购</w:t>
            </w:r>
            <w:r>
              <w:rPr>
                <w:rStyle w:val="36"/>
                <w:rFonts w:hint="default"/>
                <w:sz w:val="21"/>
                <w:szCs w:val="21"/>
                <w:lang w:bidi="ar"/>
              </w:rPr>
              <w:t>文件要求和</w:t>
            </w:r>
            <w:r>
              <w:rPr>
                <w:rStyle w:val="36"/>
                <w:rFonts w:hint="eastAsia" w:eastAsia="宋体"/>
                <w:sz w:val="21"/>
                <w:szCs w:val="21"/>
                <w:lang w:val="en-US" w:eastAsia="zh-CN"/>
              </w:rPr>
              <w:t>应标</w:t>
            </w:r>
            <w:r>
              <w:rPr>
                <w:rStyle w:val="36"/>
                <w:rFonts w:hint="default"/>
                <w:sz w:val="21"/>
                <w:szCs w:val="21"/>
                <w:lang w:bidi="ar"/>
              </w:rPr>
              <w:t>文件承诺。</w:t>
            </w:r>
          </w:p>
          <w:p w14:paraId="4066B4EC">
            <w:pPr>
              <w:pStyle w:val="7"/>
              <w:rPr>
                <w:rFonts w:hint="eastAsia" w:cs="Times New Roman"/>
                <w:sz w:val="21"/>
                <w:szCs w:val="21"/>
                <w:lang w:val="en-US" w:eastAsia="zh-CN"/>
              </w:rPr>
            </w:pPr>
            <w:r>
              <w:rPr>
                <w:rFonts w:hint="eastAsia" w:cs="Times New Roman"/>
                <w:sz w:val="21"/>
                <w:szCs w:val="21"/>
                <w:lang w:val="en-US" w:eastAsia="zh-CN"/>
              </w:rPr>
              <w:t>（2）</w:t>
            </w:r>
            <w:r>
              <w:rPr>
                <w:rStyle w:val="36"/>
                <w:rFonts w:hint="default"/>
                <w:sz w:val="21"/>
                <w:szCs w:val="21"/>
                <w:lang w:bidi="ar"/>
              </w:rPr>
              <w:t>由采购人组织验收小组检查服务需求的落实情况。</w:t>
            </w:r>
          </w:p>
          <w:p w14:paraId="67A65037">
            <w:pPr>
              <w:pStyle w:val="7"/>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1ADC00B6">
            <w:pPr>
              <w:pStyle w:val="7"/>
              <w:rPr>
                <w:rFonts w:hint="default" w:cs="Times New Roman" w:eastAsiaTheme="minorEastAsia"/>
                <w:sz w:val="24"/>
                <w:szCs w:val="24"/>
                <w:lang w:val="en-US" w:eastAsia="zh-CN"/>
              </w:rPr>
            </w:pPr>
            <w:r>
              <w:rPr>
                <w:rFonts w:hint="eastAsia" w:cs="Times New Roman"/>
                <w:sz w:val="21"/>
                <w:szCs w:val="21"/>
                <w:lang w:val="en-US" w:eastAsia="zh-CN"/>
              </w:rPr>
              <w:t>（7）如果验收时中标供应商所提供整体服务内容达不到采购项目的需求，在整改期限20日内中标供应商仍无法提供满足项目需求内容，采购人可以终止项目，中标供应商须承担相应违约责任。</w:t>
            </w:r>
          </w:p>
        </w:tc>
      </w:tr>
    </w:tbl>
    <w:p w14:paraId="006364C9">
      <w:pPr>
        <w:widowControl/>
        <w:adjustRightInd w:val="0"/>
        <w:snapToGrid w:val="0"/>
        <w:spacing w:line="520" w:lineRule="exact"/>
        <w:jc w:val="left"/>
        <w:rPr>
          <w:rFonts w:ascii="Arial" w:hAnsi="Arial" w:eastAsia="宋体" w:cs="Arial"/>
          <w:color w:val="000000"/>
          <w:kern w:val="0"/>
          <w:sz w:val="22"/>
          <w:szCs w:val="24"/>
        </w:rPr>
      </w:pPr>
      <w:r>
        <w:rPr>
          <w:rFonts w:ascii="Arial" w:hAnsi="Arial" w:eastAsia="宋体" w:cs="Arial"/>
          <w:color w:val="000000"/>
          <w:kern w:val="0"/>
          <w:sz w:val="22"/>
          <w:szCs w:val="24"/>
        </w:rPr>
        <w:t>四、报价人须知（以下要求报价供应商必须满足否则视为无效）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lang w:eastAsia="zh-CN"/>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color w:val="auto"/>
          <w:sz w:val="24"/>
          <w:szCs w:val="36"/>
          <w:highlight w:val="none"/>
          <w:lang w:eastAsia="zh-CN"/>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2"/>
          <w:szCs w:val="24"/>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2"/>
          <w:szCs w:val="24"/>
        </w:rPr>
        <w:t xml:space="preserve">符合以下规定的条件： </w:t>
      </w:r>
    </w:p>
    <w:p w14:paraId="1BD5631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2"/>
          <w:szCs w:val="24"/>
        </w:rPr>
      </w:pPr>
      <w:r>
        <w:rPr>
          <w:rFonts w:hint="eastAsia" w:asciiTheme="majorEastAsia" w:hAnsiTheme="majorEastAsia" w:eastAsiaTheme="majorEastAsia" w:cstheme="majorEastAsia"/>
          <w:b/>
          <w:kern w:val="0"/>
          <w:sz w:val="22"/>
          <w:szCs w:val="24"/>
        </w:rPr>
        <w:t xml:space="preserve">具有独立承担民事责任的能力； </w:t>
      </w:r>
    </w:p>
    <w:p w14:paraId="62E27C7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2"/>
          <w:szCs w:val="24"/>
        </w:rPr>
      </w:pPr>
      <w:r>
        <w:rPr>
          <w:rFonts w:hint="eastAsia" w:asciiTheme="majorEastAsia" w:hAnsiTheme="majorEastAsia" w:eastAsiaTheme="majorEastAsia" w:cstheme="majorEastAsia"/>
          <w:b/>
          <w:kern w:val="0"/>
          <w:sz w:val="22"/>
          <w:szCs w:val="24"/>
        </w:rPr>
        <w:t xml:space="preserve">具有良好的商业信誉和健全的财务会计制度； </w:t>
      </w:r>
    </w:p>
    <w:p w14:paraId="35CBC04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2"/>
          <w:szCs w:val="24"/>
        </w:rPr>
      </w:pPr>
      <w:r>
        <w:rPr>
          <w:rFonts w:hint="eastAsia" w:asciiTheme="majorEastAsia" w:hAnsiTheme="majorEastAsia" w:eastAsiaTheme="majorEastAsia" w:cstheme="majorEastAsia"/>
          <w:b/>
          <w:kern w:val="0"/>
          <w:sz w:val="22"/>
          <w:szCs w:val="24"/>
        </w:rPr>
        <w:t xml:space="preserve">具有履行合同所必需的设备和专业技术能力； </w:t>
      </w:r>
    </w:p>
    <w:p w14:paraId="320CA08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2"/>
          <w:szCs w:val="24"/>
        </w:rPr>
      </w:pPr>
      <w:r>
        <w:rPr>
          <w:rFonts w:hint="eastAsia" w:asciiTheme="majorEastAsia" w:hAnsiTheme="majorEastAsia" w:eastAsiaTheme="majorEastAsia" w:cstheme="majorEastAsia"/>
          <w:b/>
          <w:kern w:val="0"/>
          <w:sz w:val="22"/>
          <w:szCs w:val="24"/>
        </w:rPr>
        <w:t xml:space="preserve">有依法缴纳税收和社会保障资金的良好记录； </w:t>
      </w:r>
    </w:p>
    <w:p w14:paraId="6677FB72">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2"/>
          <w:szCs w:val="24"/>
        </w:rPr>
      </w:pPr>
      <w:r>
        <w:rPr>
          <w:rFonts w:hint="eastAsia" w:asciiTheme="majorEastAsia" w:hAnsiTheme="majorEastAsia" w:eastAsiaTheme="majorEastAsia" w:cstheme="majorEastAsia"/>
          <w:b/>
          <w:kern w:val="0"/>
          <w:sz w:val="22"/>
          <w:szCs w:val="24"/>
        </w:rPr>
        <w:t xml:space="preserve">参加政府采购活动前三年内，在经营活动中没有重大违法记录； </w:t>
      </w:r>
    </w:p>
    <w:p w14:paraId="529AA131">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2"/>
          <w:szCs w:val="24"/>
        </w:rPr>
      </w:pPr>
      <w:r>
        <w:rPr>
          <w:rFonts w:hint="eastAsia" w:asciiTheme="majorEastAsia" w:hAnsiTheme="majorEastAsia" w:eastAsiaTheme="majorEastAsia" w:cstheme="majorEastAsia"/>
          <w:b/>
          <w:kern w:val="0"/>
          <w:sz w:val="22"/>
          <w:szCs w:val="24"/>
        </w:rPr>
        <w:t>未被列入失信被执行人、重大税收违法失信主体、政府采购严重违法失信行为记录名单；</w:t>
      </w:r>
    </w:p>
    <w:p w14:paraId="5AD11627">
      <w:pPr>
        <w:pStyle w:val="7"/>
        <w:numPr>
          <w:ilvl w:val="0"/>
          <w:numId w:val="3"/>
        </w:numPr>
        <w:ind w:left="0" w:leftChars="0" w:firstLine="400" w:firstLineChars="0"/>
        <w:rPr>
          <w:rFonts w:hint="eastAsia" w:asciiTheme="majorEastAsia" w:hAnsiTheme="majorEastAsia" w:eastAsiaTheme="majorEastAsia" w:cstheme="majorEastAsia"/>
          <w:b/>
          <w:kern w:val="0"/>
          <w:sz w:val="22"/>
          <w:szCs w:val="24"/>
        </w:rPr>
      </w:pPr>
      <w:r>
        <w:rPr>
          <w:rFonts w:hint="eastAsia" w:asciiTheme="majorEastAsia" w:hAnsiTheme="majorEastAsia" w:eastAsiaTheme="majorEastAsia" w:cstheme="majorEastAsia"/>
          <w:b/>
          <w:kern w:val="0"/>
          <w:sz w:val="22"/>
          <w:szCs w:val="24"/>
        </w:rPr>
        <w:t>法律、行政法规规定的其他条件。</w:t>
      </w:r>
    </w:p>
    <w:p w14:paraId="2299C32F">
      <w:pPr>
        <w:pStyle w:val="7"/>
        <w:numPr>
          <w:ilvl w:val="0"/>
          <w:numId w:val="0"/>
        </w:numPr>
        <w:rPr>
          <w:rFonts w:hint="eastAsia" w:asciiTheme="majorEastAsia" w:hAnsiTheme="majorEastAsia" w:eastAsiaTheme="majorEastAsia" w:cstheme="majorEastAsia"/>
          <w:b/>
          <w:kern w:val="0"/>
          <w:sz w:val="24"/>
          <w:szCs w:val="28"/>
        </w:rPr>
      </w:pP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本报价函（加盖报价商公章），报价人工商营业执照复印件、法定代表人身份证复印件、委托代理人身份证复印件（委托代理时提供）、法定代表人授权委托书（委托代理时提供）。报价文件一式三份。</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b/>
          <w:bCs/>
          <w:color w:val="auto"/>
          <w:sz w:val="24"/>
          <w:szCs w:val="24"/>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7"/>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5</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 xml:space="preserve"> 11</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 xml:space="preserve">28 </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9</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9</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采购人将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0"/>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2"/>
          <w:sz w:val="24"/>
          <w:szCs w:val="24"/>
          <w:lang w:val="en-US" w:eastAsia="zh-CN" w:bidi="ar-SA"/>
        </w:rPr>
        <w:t>7.</w:t>
      </w: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b w:val="0"/>
          <w:bCs/>
          <w:color w:val="auto"/>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 w:val="0"/>
          <w:bCs/>
          <w:color w:val="auto"/>
          <w:kern w:val="0"/>
          <w:sz w:val="24"/>
          <w:szCs w:val="28"/>
          <w:lang w:bidi="en-US"/>
        </w:rPr>
        <w:t>技术及需求咨询联系人：</w:t>
      </w:r>
      <w:r>
        <w:rPr>
          <w:rFonts w:hint="eastAsia" w:asciiTheme="majorEastAsia" w:hAnsiTheme="majorEastAsia" w:eastAsiaTheme="majorEastAsia" w:cstheme="majorEastAsia"/>
          <w:b w:val="0"/>
          <w:bCs/>
          <w:color w:val="auto"/>
          <w:kern w:val="0"/>
          <w:sz w:val="24"/>
          <w:szCs w:val="28"/>
          <w:lang w:val="en-US" w:eastAsia="zh-CN" w:bidi="en-US"/>
        </w:rPr>
        <w:t xml:space="preserve">胡老师 </w:t>
      </w:r>
      <w:r>
        <w:rPr>
          <w:rFonts w:hint="eastAsia" w:asciiTheme="majorEastAsia" w:hAnsiTheme="majorEastAsia" w:eastAsiaTheme="majorEastAsia" w:cstheme="majorEastAsia"/>
          <w:b w:val="0"/>
          <w:bCs/>
          <w:color w:val="auto"/>
          <w:kern w:val="0"/>
          <w:sz w:val="24"/>
          <w:szCs w:val="28"/>
          <w:lang w:bidi="en-US"/>
        </w:rPr>
        <w:t xml:space="preserve">     联系电话：</w:t>
      </w:r>
      <w:r>
        <w:rPr>
          <w:rFonts w:hint="eastAsia" w:asciiTheme="majorEastAsia" w:hAnsiTheme="majorEastAsia" w:eastAsiaTheme="majorEastAsia" w:cstheme="majorEastAsia"/>
          <w:b w:val="0"/>
          <w:bCs/>
          <w:color w:val="auto"/>
          <w:kern w:val="0"/>
          <w:sz w:val="24"/>
          <w:szCs w:val="28"/>
          <w:lang w:val="en-US" w:eastAsia="zh-CN" w:bidi="en-US"/>
        </w:rPr>
        <w:t>18007723985</w:t>
      </w:r>
      <w:r>
        <w:rPr>
          <w:rFonts w:hint="eastAsia" w:asciiTheme="majorEastAsia" w:hAnsiTheme="majorEastAsia" w:eastAsiaTheme="majorEastAsia" w:cstheme="majorEastAsia"/>
          <w:b w:val="0"/>
          <w:bCs w:val="0"/>
          <w:color w:val="auto"/>
          <w:kern w:val="0"/>
          <w:sz w:val="24"/>
          <w:szCs w:val="28"/>
          <w:lang w:val="en-US" w:eastAsia="zh-CN" w:bidi="en-US"/>
        </w:rPr>
        <w:t xml:space="preserve"> </w:t>
      </w:r>
      <w:r>
        <w:rPr>
          <w:rFonts w:hint="eastAsia" w:asciiTheme="majorEastAsia" w:hAnsiTheme="majorEastAsia" w:eastAsiaTheme="majorEastAsia" w:cstheme="majorEastAsia"/>
          <w:b w:val="0"/>
          <w:bCs/>
          <w:color w:val="auto"/>
          <w:kern w:val="0"/>
          <w:sz w:val="24"/>
          <w:szCs w:val="28"/>
        </w:rPr>
        <w:t>。</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5AA1FECF">
      <w:pPr>
        <w:widowControl/>
        <w:jc w:val="left"/>
        <w:rPr>
          <w:rFonts w:ascii="Arial" w:hAnsi="Arial" w:cs="Arial"/>
          <w:sz w:val="24"/>
          <w:szCs w:val="24"/>
        </w:rPr>
      </w:pPr>
    </w:p>
    <w:p w14:paraId="4C01A3FF">
      <w:pPr>
        <w:widowControl/>
        <w:ind w:firstLine="8760" w:firstLineChars="3650"/>
        <w:jc w:val="left"/>
        <w:rPr>
          <w:rFonts w:ascii="Arial" w:hAnsi="Arial" w:cs="Arial"/>
          <w:b w:val="0"/>
          <w:bCs/>
          <w:sz w:val="24"/>
          <w:szCs w:val="24"/>
        </w:rPr>
      </w:pPr>
      <w:r>
        <w:rPr>
          <w:rFonts w:ascii="Arial" w:hAnsi="Arial" w:cs="Arial"/>
          <w:b w:val="0"/>
          <w:bCs/>
          <w:sz w:val="24"/>
          <w:szCs w:val="24"/>
        </w:rPr>
        <w:t>柳州职业技术</w:t>
      </w:r>
      <w:r>
        <w:rPr>
          <w:rFonts w:hint="eastAsia" w:ascii="Arial" w:hAnsi="Arial" w:eastAsia="宋体" w:cs="Arial"/>
          <w:b w:val="0"/>
          <w:bCs/>
          <w:kern w:val="0"/>
          <w:sz w:val="24"/>
          <w:szCs w:val="28"/>
        </w:rPr>
        <w:t>大学</w:t>
      </w:r>
    </w:p>
    <w:p w14:paraId="702A5BB5">
      <w:pPr>
        <w:widowControl/>
        <w:jc w:val="left"/>
        <w:rPr>
          <w:rFonts w:ascii="Arial" w:hAnsi="Arial" w:cs="Arial"/>
          <w:b w:val="0"/>
          <w:bCs/>
          <w:sz w:val="24"/>
          <w:szCs w:val="24"/>
        </w:rPr>
      </w:pPr>
      <w:r>
        <w:rPr>
          <w:rFonts w:ascii="Arial" w:hAnsi="Arial" w:cs="Arial"/>
          <w:b w:val="0"/>
          <w:bCs/>
          <w:sz w:val="24"/>
          <w:szCs w:val="24"/>
        </w:rPr>
        <w:t xml:space="preserve">                                                           </w:t>
      </w:r>
      <w:r>
        <w:rPr>
          <w:rFonts w:hint="eastAsia" w:ascii="Arial" w:hAnsi="Arial" w:cs="Arial"/>
          <w:b w:val="0"/>
          <w:bCs/>
          <w:sz w:val="24"/>
          <w:szCs w:val="24"/>
        </w:rPr>
        <w:t xml:space="preserve">             </w:t>
      </w:r>
      <w:r>
        <w:rPr>
          <w:rFonts w:ascii="Arial" w:hAnsi="Arial" w:cs="Arial"/>
          <w:b w:val="0"/>
          <w:bCs/>
          <w:sz w:val="24"/>
          <w:szCs w:val="24"/>
        </w:rPr>
        <w:t xml:space="preserve"> </w:t>
      </w:r>
      <w:r>
        <w:rPr>
          <w:rFonts w:hint="eastAsia" w:ascii="Arial" w:hAnsi="Arial" w:cs="Arial"/>
          <w:b w:val="0"/>
          <w:bCs/>
          <w:sz w:val="24"/>
          <w:szCs w:val="24"/>
        </w:rPr>
        <w:t>2025</w:t>
      </w:r>
      <w:r>
        <w:rPr>
          <w:rFonts w:ascii="Arial" w:hAnsi="Arial" w:cs="Arial"/>
          <w:b w:val="0"/>
          <w:bCs/>
          <w:sz w:val="24"/>
          <w:szCs w:val="24"/>
        </w:rPr>
        <w:t>年</w:t>
      </w:r>
      <w:r>
        <w:rPr>
          <w:rFonts w:hint="eastAsia" w:ascii="Arial" w:hAnsi="Arial" w:cs="Arial"/>
          <w:b w:val="0"/>
          <w:bCs/>
          <w:sz w:val="24"/>
          <w:szCs w:val="24"/>
          <w:lang w:val="en-US" w:eastAsia="zh-CN"/>
        </w:rPr>
        <w:t>11</w:t>
      </w:r>
      <w:r>
        <w:rPr>
          <w:rFonts w:ascii="Arial" w:hAnsi="Arial" w:cs="Arial"/>
          <w:b w:val="0"/>
          <w:bCs/>
          <w:sz w:val="24"/>
          <w:szCs w:val="24"/>
        </w:rPr>
        <w:t>月</w:t>
      </w:r>
      <w:r>
        <w:rPr>
          <w:rFonts w:hint="eastAsia" w:ascii="Arial" w:hAnsi="Arial" w:cs="Arial"/>
          <w:b w:val="0"/>
          <w:bCs/>
          <w:sz w:val="24"/>
          <w:szCs w:val="24"/>
          <w:lang w:val="en-US" w:eastAsia="zh-CN"/>
        </w:rPr>
        <w:t>20</w:t>
      </w:r>
      <w:r>
        <w:rPr>
          <w:rFonts w:ascii="Arial" w:hAnsi="Arial" w:cs="Arial"/>
          <w:b w:val="0"/>
          <w:bCs/>
          <w:sz w:val="24"/>
          <w:szCs w:val="24"/>
        </w:rPr>
        <w:t>日</w:t>
      </w:r>
    </w:p>
    <w:p w14:paraId="1359F208">
      <w:pPr>
        <w:pStyle w:val="8"/>
        <w:snapToGrid w:val="0"/>
        <w:spacing w:before="295" w:after="295" w:line="400" w:lineRule="exact"/>
        <w:rPr>
          <w:rFonts w:ascii="Arial" w:hAnsi="Arial" w:cs="Arial"/>
          <w:b w:val="0"/>
          <w:bCs/>
          <w:sz w:val="24"/>
          <w:szCs w:val="24"/>
        </w:rPr>
      </w:pPr>
    </w:p>
    <w:p w14:paraId="4591B3EC">
      <w:pPr>
        <w:pStyle w:val="9"/>
        <w:ind w:left="5250"/>
      </w:pPr>
    </w:p>
    <w:p w14:paraId="096496B2">
      <w:pPr>
        <w:pStyle w:val="7"/>
      </w:pPr>
    </w:p>
    <w:p w14:paraId="25FFD69B">
      <w:pPr>
        <w:pStyle w:val="7"/>
      </w:pPr>
    </w:p>
    <w:p w14:paraId="742E4DC1">
      <w:pPr>
        <w:pStyle w:val="7"/>
      </w:pPr>
    </w:p>
    <w:p w14:paraId="4673AFA2">
      <w:pPr>
        <w:pStyle w:val="7"/>
      </w:pPr>
    </w:p>
    <w:p w14:paraId="1E7DA518">
      <w:pPr>
        <w:pStyle w:val="7"/>
      </w:pPr>
    </w:p>
    <w:p w14:paraId="4C2F9BA8">
      <w:pPr>
        <w:pStyle w:val="7"/>
      </w:pPr>
    </w:p>
    <w:p w14:paraId="5CC9F4AA">
      <w:pPr>
        <w:pStyle w:val="7"/>
      </w:pPr>
    </w:p>
    <w:p w14:paraId="406173FD">
      <w:pPr>
        <w:pStyle w:val="7"/>
      </w:pPr>
    </w:p>
    <w:p w14:paraId="12BDB59D">
      <w:pPr>
        <w:widowControl/>
        <w:adjustRightInd w:val="0"/>
        <w:snapToGrid w:val="0"/>
        <w:spacing w:line="520" w:lineRule="exact"/>
        <w:jc w:val="center"/>
        <w:rPr>
          <w:rFonts w:ascii="Arial" w:hAnsi="Arial" w:eastAsia="宋体" w:cs="Arial"/>
          <w:b/>
          <w:kern w:val="0"/>
          <w:sz w:val="24"/>
          <w:szCs w:val="28"/>
        </w:rPr>
      </w:pPr>
      <w:r>
        <w:rPr>
          <w:rFonts w:hint="eastAsia" w:ascii="宋体" w:hAnsi="宋体" w:eastAsia="宋体" w:cs="宋体"/>
          <w:b/>
          <w:kern w:val="0"/>
          <w:sz w:val="28"/>
          <w:szCs w:val="28"/>
        </w:rPr>
        <w:t>评审原则和评分标准</w:t>
      </w:r>
    </w:p>
    <w:p w14:paraId="4B25601E">
      <w:pPr>
        <w:widowControl/>
        <w:adjustRightInd w:val="0"/>
        <w:snapToGrid w:val="0"/>
        <w:spacing w:line="520" w:lineRule="exact"/>
        <w:jc w:val="left"/>
        <w:rPr>
          <w:rFonts w:ascii="宋体" w:hAnsi="宋体" w:eastAsia="宋体" w:cs="宋体"/>
          <w:kern w:val="0"/>
          <w:sz w:val="24"/>
          <w:szCs w:val="24"/>
        </w:rPr>
      </w:pPr>
      <w:r>
        <w:rPr>
          <w:rFonts w:hint="eastAsia" w:ascii="宋体" w:hAnsi="宋体" w:eastAsia="宋体" w:cs="宋体"/>
          <w:b/>
          <w:bCs/>
          <w:kern w:val="0"/>
          <w:sz w:val="24"/>
          <w:szCs w:val="24"/>
        </w:rPr>
        <w:t>一、评审办法</w:t>
      </w:r>
    </w:p>
    <w:p w14:paraId="22EC7D26">
      <w:pPr>
        <w:widowControl/>
        <w:adjustRightInd w:val="0"/>
        <w:snapToGrid w:val="0"/>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（一）评审原则</w:t>
      </w:r>
    </w:p>
    <w:p w14:paraId="243785F1">
      <w:pPr>
        <w:widowControl/>
        <w:adjustRightInd w:val="0"/>
        <w:snapToGrid w:val="0"/>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1.评委构成：本项目的评委由依法组成的评审专家3人或以上单数构成。</w:t>
      </w:r>
    </w:p>
    <w:p w14:paraId="7CE85D2C">
      <w:pPr>
        <w:widowControl/>
        <w:adjustRightInd w:val="0"/>
        <w:snapToGrid w:val="0"/>
        <w:spacing w:line="520" w:lineRule="exact"/>
        <w:jc w:val="left"/>
        <w:rPr>
          <w:rFonts w:ascii="宋体" w:hAnsi="宋体" w:eastAsia="宋体" w:cs="宋体"/>
          <w:kern w:val="0"/>
          <w:sz w:val="24"/>
          <w:szCs w:val="24"/>
        </w:rPr>
      </w:pPr>
      <w:r>
        <w:rPr>
          <w:rFonts w:hint="eastAsia" w:ascii="宋体" w:hAnsi="宋体" w:eastAsia="宋体" w:cs="宋体"/>
          <w:kern w:val="0"/>
          <w:sz w:val="24"/>
          <w:szCs w:val="24"/>
        </w:rPr>
        <w:t>2.评审依据：评委将以询价采购公告为评审依据，对报价人的价格、商务部分、技术部分3个方面内容按百分制打分。</w:t>
      </w:r>
    </w:p>
    <w:p w14:paraId="36BEBE55">
      <w:pPr>
        <w:pStyle w:val="7"/>
        <w:rPr>
          <w:rFonts w:ascii="宋体" w:hAnsi="宋体" w:eastAsia="宋体" w:cs="宋体"/>
          <w:sz w:val="24"/>
          <w:szCs w:val="24"/>
        </w:rPr>
      </w:pPr>
      <w:r>
        <w:rPr>
          <w:rFonts w:hint="eastAsia" w:ascii="宋体" w:hAnsi="宋体" w:eastAsia="宋体" w:cs="宋体"/>
          <w:sz w:val="24"/>
          <w:szCs w:val="24"/>
        </w:rPr>
        <w:t>（二）评定方法</w:t>
      </w:r>
    </w:p>
    <w:p w14:paraId="1FFA2CA5">
      <w:pPr>
        <w:pStyle w:val="7"/>
        <w:rPr>
          <w:rFonts w:ascii="宋体" w:hAnsi="宋体" w:eastAsia="宋体" w:cs="宋体"/>
          <w:sz w:val="24"/>
          <w:szCs w:val="24"/>
        </w:rPr>
      </w:pPr>
      <w:r>
        <w:rPr>
          <w:rFonts w:hint="eastAsia" w:ascii="宋体" w:hAnsi="宋体" w:eastAsia="宋体" w:cs="宋体"/>
          <w:sz w:val="24"/>
          <w:szCs w:val="24"/>
        </w:rPr>
        <w:t>1.对进入详评的，采用百分制综合评分法。</w:t>
      </w:r>
    </w:p>
    <w:p w14:paraId="72C4D307">
      <w:pPr>
        <w:pStyle w:val="7"/>
        <w:rPr>
          <w:rFonts w:ascii="宋体" w:hAnsi="宋体" w:eastAsia="宋体" w:cs="宋体"/>
          <w:sz w:val="24"/>
          <w:szCs w:val="24"/>
        </w:rPr>
      </w:pPr>
      <w:r>
        <w:rPr>
          <w:rFonts w:hint="eastAsia" w:ascii="宋体" w:hAnsi="宋体" w:eastAsia="宋体" w:cs="宋体"/>
          <w:sz w:val="24"/>
          <w:szCs w:val="24"/>
        </w:rPr>
        <w:t>2.计分办法(按四舍五入取至百分位)：总分=1+2+3</w:t>
      </w:r>
    </w:p>
    <w:p w14:paraId="00C678F5">
      <w:pPr>
        <w:widowControl/>
        <w:adjustRightInd w:val="0"/>
        <w:snapToGrid w:val="0"/>
        <w:spacing w:line="520" w:lineRule="exact"/>
        <w:jc w:val="left"/>
        <w:rPr>
          <w:rFonts w:asciiTheme="minorEastAsia" w:hAnsiTheme="minorEastAsia" w:cstheme="minorEastAsia"/>
        </w:rPr>
      </w:pPr>
      <w:r>
        <w:rPr>
          <w:rFonts w:hint="eastAsia" w:ascii="宋体" w:hAnsi="宋体" w:eastAsia="宋体" w:cs="宋体"/>
          <w:b/>
          <w:kern w:val="0"/>
          <w:sz w:val="24"/>
          <w:szCs w:val="24"/>
        </w:rPr>
        <w:t>二、评分标准</w:t>
      </w:r>
    </w:p>
    <w:tbl>
      <w:tblPr>
        <w:tblStyle w:val="18"/>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1373"/>
        <w:gridCol w:w="6697"/>
      </w:tblGrid>
      <w:tr w14:paraId="0DDF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369" w:type="dxa"/>
            <w:gridSpan w:val="3"/>
            <w:tcBorders>
              <w:top w:val="single" w:color="auto" w:sz="4" w:space="0"/>
              <w:left w:val="single" w:color="auto" w:sz="4" w:space="0"/>
              <w:bottom w:val="single" w:color="auto" w:sz="4" w:space="0"/>
              <w:right w:val="single" w:color="auto" w:sz="4" w:space="0"/>
            </w:tcBorders>
          </w:tcPr>
          <w:p w14:paraId="0F59BB92">
            <w:pPr>
              <w:spacing w:line="400" w:lineRule="exact"/>
              <w:jc w:val="center"/>
              <w:rPr>
                <w:rFonts w:ascii="宋体" w:hAnsi="宋体" w:eastAsia="宋体" w:cs="宋体"/>
                <w:b/>
                <w:bCs/>
                <w:szCs w:val="21"/>
              </w:rPr>
            </w:pPr>
            <w:r>
              <w:rPr>
                <w:rFonts w:hint="eastAsia" w:ascii="宋体" w:hAnsi="宋体" w:eastAsia="宋体" w:cs="宋体"/>
                <w:b/>
                <w:bCs/>
                <w:szCs w:val="21"/>
              </w:rPr>
              <w:t>评分项</w:t>
            </w:r>
          </w:p>
        </w:tc>
      </w:tr>
      <w:tr w14:paraId="2CE4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tcBorders>
              <w:top w:val="single" w:color="auto" w:sz="4" w:space="0"/>
              <w:left w:val="single" w:color="auto" w:sz="4" w:space="0"/>
              <w:bottom w:val="single" w:color="auto" w:sz="4" w:space="0"/>
              <w:right w:val="single" w:color="auto" w:sz="4" w:space="0"/>
            </w:tcBorders>
            <w:vAlign w:val="center"/>
          </w:tcPr>
          <w:p w14:paraId="4E5C4B75">
            <w:pPr>
              <w:spacing w:line="400" w:lineRule="exact"/>
              <w:jc w:val="center"/>
              <w:rPr>
                <w:rFonts w:ascii="宋体" w:hAnsi="宋体" w:eastAsia="宋体" w:cs="宋体"/>
                <w:b/>
                <w:bCs/>
                <w:szCs w:val="21"/>
              </w:rPr>
            </w:pPr>
            <w:r>
              <w:rPr>
                <w:rFonts w:hint="eastAsia" w:ascii="宋体" w:hAnsi="宋体" w:eastAsia="宋体" w:cs="宋体"/>
                <w:b/>
                <w:bCs/>
                <w:szCs w:val="21"/>
              </w:rPr>
              <w:t>1.价格部分</w:t>
            </w:r>
          </w:p>
          <w:p w14:paraId="4987B638">
            <w:pPr>
              <w:spacing w:line="400" w:lineRule="exact"/>
              <w:jc w:val="center"/>
              <w:rPr>
                <w:rFonts w:ascii="宋体" w:hAnsi="宋体" w:eastAsia="宋体" w:cs="宋体"/>
                <w:b/>
                <w:bCs/>
                <w:szCs w:val="21"/>
              </w:rPr>
            </w:pPr>
            <w:r>
              <w:rPr>
                <w:rFonts w:hint="eastAsia" w:ascii="宋体" w:hAnsi="宋体" w:eastAsia="宋体" w:cs="宋体"/>
                <w:b/>
                <w:bCs/>
                <w:szCs w:val="21"/>
              </w:rPr>
              <w:t>（30分）</w:t>
            </w:r>
          </w:p>
        </w:tc>
        <w:tc>
          <w:tcPr>
            <w:tcW w:w="1373" w:type="dxa"/>
            <w:tcBorders>
              <w:top w:val="single" w:color="auto" w:sz="4" w:space="0"/>
              <w:left w:val="single" w:color="auto" w:sz="4" w:space="0"/>
              <w:bottom w:val="single" w:color="auto" w:sz="4" w:space="0"/>
              <w:right w:val="single" w:color="auto" w:sz="4" w:space="0"/>
            </w:tcBorders>
            <w:vAlign w:val="center"/>
          </w:tcPr>
          <w:p w14:paraId="06073A2C">
            <w:pPr>
              <w:spacing w:line="400" w:lineRule="exact"/>
              <w:jc w:val="center"/>
              <w:rPr>
                <w:rFonts w:ascii="宋体" w:hAnsi="宋体" w:eastAsia="宋体" w:cs="宋体"/>
                <w:b/>
                <w:bCs/>
                <w:szCs w:val="21"/>
              </w:rPr>
            </w:pPr>
            <w:r>
              <w:rPr>
                <w:rFonts w:hint="eastAsia" w:ascii="宋体" w:hAnsi="宋体" w:eastAsia="宋体" w:cs="宋体"/>
                <w:b/>
                <w:bCs/>
                <w:szCs w:val="21"/>
              </w:rPr>
              <w:t>报价</w:t>
            </w:r>
          </w:p>
          <w:p w14:paraId="3A6011F2">
            <w:pPr>
              <w:spacing w:line="400" w:lineRule="exact"/>
              <w:jc w:val="center"/>
              <w:rPr>
                <w:rFonts w:ascii="宋体" w:hAnsi="宋体" w:eastAsia="宋体" w:cs="宋体"/>
                <w:b/>
                <w:bCs/>
                <w:szCs w:val="21"/>
              </w:rPr>
            </w:pPr>
            <w:r>
              <w:rPr>
                <w:rFonts w:hint="eastAsia" w:ascii="宋体" w:hAnsi="宋体" w:eastAsia="宋体" w:cs="宋体"/>
                <w:b/>
                <w:bCs/>
                <w:szCs w:val="21"/>
              </w:rPr>
              <w:t>（30分）</w:t>
            </w:r>
          </w:p>
        </w:tc>
        <w:tc>
          <w:tcPr>
            <w:tcW w:w="6697" w:type="dxa"/>
            <w:tcBorders>
              <w:top w:val="single" w:color="auto" w:sz="4" w:space="0"/>
              <w:left w:val="single" w:color="auto" w:sz="4" w:space="0"/>
              <w:bottom w:val="single" w:color="auto" w:sz="4" w:space="0"/>
              <w:right w:val="single" w:color="auto" w:sz="4" w:space="0"/>
            </w:tcBorders>
          </w:tcPr>
          <w:p w14:paraId="3A243538">
            <w:pPr>
              <w:pStyle w:val="7"/>
              <w:rPr>
                <w:rFonts w:ascii="宋体" w:hAnsi="宋体" w:eastAsia="宋体" w:cs="宋体"/>
                <w:szCs w:val="21"/>
              </w:rPr>
            </w:pPr>
            <w:r>
              <w:rPr>
                <w:rFonts w:hint="eastAsia" w:ascii="宋体" w:hAnsi="宋体" w:eastAsia="宋体" w:cs="宋体"/>
                <w:szCs w:val="21"/>
              </w:rPr>
              <w:t>价格分计算公式：报价得分=（基准价/最后报价）×30分</w:t>
            </w:r>
          </w:p>
          <w:p w14:paraId="0F1DA1C5">
            <w:pPr>
              <w:pStyle w:val="7"/>
              <w:rPr>
                <w:rFonts w:ascii="宋体" w:hAnsi="宋体" w:eastAsia="宋体" w:cs="宋体"/>
                <w:szCs w:val="21"/>
              </w:rPr>
            </w:pPr>
            <w:r>
              <w:rPr>
                <w:rFonts w:hint="eastAsia" w:ascii="宋体" w:hAnsi="宋体" w:eastAsia="宋体" w:cs="宋体"/>
                <w:szCs w:val="21"/>
              </w:rPr>
              <w:t>注：评标基准价为满足报价文件要求且报价价格最低的报价。</w:t>
            </w:r>
          </w:p>
        </w:tc>
      </w:tr>
      <w:tr w14:paraId="2FA2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9" w:type="dxa"/>
            <w:vMerge w:val="restart"/>
            <w:tcBorders>
              <w:top w:val="single" w:color="auto" w:sz="4" w:space="0"/>
              <w:left w:val="single" w:color="auto" w:sz="4" w:space="0"/>
              <w:bottom w:val="single" w:color="auto" w:sz="4" w:space="0"/>
              <w:right w:val="single" w:color="auto" w:sz="4" w:space="0"/>
            </w:tcBorders>
            <w:vAlign w:val="center"/>
          </w:tcPr>
          <w:p w14:paraId="11989255">
            <w:pPr>
              <w:spacing w:line="400" w:lineRule="exact"/>
              <w:jc w:val="center"/>
              <w:rPr>
                <w:rFonts w:ascii="宋体" w:hAnsi="宋体" w:eastAsia="宋体" w:cs="宋体"/>
                <w:b/>
                <w:bCs/>
                <w:szCs w:val="21"/>
              </w:rPr>
            </w:pPr>
            <w:r>
              <w:rPr>
                <w:rFonts w:hint="eastAsia" w:ascii="宋体" w:hAnsi="宋体" w:eastAsia="宋体" w:cs="宋体"/>
                <w:b/>
                <w:bCs/>
                <w:szCs w:val="21"/>
              </w:rPr>
              <w:t>2.商务部分</w:t>
            </w:r>
          </w:p>
          <w:p w14:paraId="096F136C">
            <w:pPr>
              <w:spacing w:line="400" w:lineRule="exact"/>
              <w:jc w:val="center"/>
              <w:rPr>
                <w:rFonts w:ascii="宋体" w:hAnsi="宋体" w:eastAsia="宋体" w:cs="宋体"/>
                <w:b/>
                <w:bCs/>
                <w:szCs w:val="21"/>
              </w:rPr>
            </w:pPr>
            <w:r>
              <w:rPr>
                <w:rFonts w:hint="eastAsia" w:ascii="宋体" w:hAnsi="宋体" w:eastAsia="宋体" w:cs="宋体"/>
                <w:b/>
                <w:bCs/>
                <w:szCs w:val="21"/>
              </w:rPr>
              <w:t>（</w:t>
            </w:r>
            <w:r>
              <w:rPr>
                <w:rFonts w:hint="eastAsia" w:ascii="宋体" w:hAnsi="宋体" w:eastAsia="宋体" w:cs="宋体"/>
                <w:b/>
                <w:bCs/>
                <w:szCs w:val="21"/>
                <w:lang w:val="en-US" w:eastAsia="zh-CN"/>
              </w:rPr>
              <w:t>20</w:t>
            </w:r>
            <w:r>
              <w:rPr>
                <w:rFonts w:hint="eastAsia" w:ascii="宋体" w:hAnsi="宋体" w:eastAsia="宋体" w:cs="宋体"/>
                <w:b/>
                <w:bCs/>
                <w:szCs w:val="21"/>
              </w:rPr>
              <w:t>分）</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70A78228">
            <w:pPr>
              <w:spacing w:line="400" w:lineRule="exact"/>
              <w:jc w:val="center"/>
              <w:rPr>
                <w:rFonts w:ascii="宋体" w:hAnsi="宋体" w:eastAsia="宋体" w:cs="宋体"/>
                <w:b/>
                <w:bCs/>
                <w:szCs w:val="21"/>
              </w:rPr>
            </w:pPr>
            <w:r>
              <w:rPr>
                <w:rFonts w:hint="eastAsia" w:ascii="宋体" w:hAnsi="宋体" w:eastAsia="宋体" w:cs="宋体"/>
                <w:b/>
                <w:bCs/>
                <w:szCs w:val="21"/>
              </w:rPr>
              <w:t>项目业绩</w:t>
            </w:r>
          </w:p>
          <w:p w14:paraId="3FC567AD">
            <w:pPr>
              <w:spacing w:line="400" w:lineRule="exact"/>
              <w:jc w:val="center"/>
              <w:rPr>
                <w:rFonts w:ascii="宋体" w:hAnsi="宋体" w:eastAsia="宋体" w:cs="宋体"/>
                <w:b/>
                <w:bCs/>
                <w:kern w:val="2"/>
                <w:sz w:val="21"/>
                <w:szCs w:val="21"/>
                <w:lang w:val="en-US" w:eastAsia="zh-CN" w:bidi="ar-SA"/>
              </w:rPr>
            </w:pPr>
            <w:r>
              <w:rPr>
                <w:rFonts w:hint="eastAsia" w:ascii="宋体" w:hAnsi="宋体" w:eastAsia="宋体" w:cs="宋体"/>
                <w:b/>
                <w:bCs/>
                <w:szCs w:val="21"/>
              </w:rPr>
              <w:t>（</w:t>
            </w:r>
            <w:r>
              <w:rPr>
                <w:rFonts w:hint="eastAsia" w:ascii="宋体" w:hAnsi="宋体" w:eastAsia="宋体" w:cs="宋体"/>
                <w:b/>
                <w:bCs/>
                <w:szCs w:val="21"/>
                <w:lang w:val="en-US" w:eastAsia="zh-CN"/>
              </w:rPr>
              <w:t>8</w:t>
            </w:r>
            <w:r>
              <w:rPr>
                <w:rFonts w:hint="eastAsia" w:ascii="宋体" w:hAnsi="宋体" w:eastAsia="宋体" w:cs="宋体"/>
                <w:b/>
                <w:bCs/>
                <w:szCs w:val="21"/>
              </w:rPr>
              <w:t>分）</w:t>
            </w:r>
          </w:p>
        </w:tc>
        <w:tc>
          <w:tcPr>
            <w:tcW w:w="6697" w:type="dxa"/>
            <w:tcBorders>
              <w:top w:val="single" w:color="auto" w:sz="4" w:space="0"/>
              <w:left w:val="single" w:color="auto" w:sz="4" w:space="0"/>
              <w:bottom w:val="single" w:color="auto" w:sz="4" w:space="0"/>
              <w:right w:val="single" w:color="auto" w:sz="4" w:space="0"/>
            </w:tcBorders>
            <w:shd w:val="clear" w:color="auto" w:fill="auto"/>
            <w:vAlign w:val="center"/>
          </w:tcPr>
          <w:p w14:paraId="37035BD7">
            <w:pPr>
              <w:spacing w:line="400" w:lineRule="exact"/>
              <w:rPr>
                <w:rFonts w:ascii="宋体" w:hAnsi="宋体" w:eastAsia="宋体" w:cs="宋体"/>
                <w:bCs/>
                <w:szCs w:val="21"/>
                <w:highlight w:val="none"/>
              </w:rPr>
            </w:pPr>
            <w:r>
              <w:rPr>
                <w:rFonts w:hint="eastAsia" w:ascii="宋体" w:hAnsi="宋体" w:eastAsia="宋体" w:cs="宋体"/>
                <w:b/>
                <w:bCs/>
                <w:color w:val="000000"/>
                <w:szCs w:val="21"/>
              </w:rPr>
              <w:t>评审依据：</w:t>
            </w:r>
            <w:r>
              <w:rPr>
                <w:rFonts w:hint="eastAsia" w:ascii="宋体" w:hAnsi="宋体" w:eastAsia="宋体" w:cs="宋体"/>
                <w:bCs/>
                <w:color w:val="000000"/>
                <w:szCs w:val="21"/>
              </w:rPr>
              <w:t>提</w:t>
            </w:r>
            <w:r>
              <w:rPr>
                <w:rFonts w:hint="eastAsia" w:ascii="宋体" w:hAnsi="宋体" w:eastAsia="宋体" w:cs="宋体"/>
                <w:bCs/>
                <w:color w:val="000000"/>
                <w:szCs w:val="21"/>
                <w:highlight w:val="none"/>
              </w:rPr>
              <w:t>供</w:t>
            </w:r>
            <w:r>
              <w:rPr>
                <w:rFonts w:hint="eastAsia" w:ascii="宋体" w:hAnsi="宋体" w:eastAsia="宋体" w:cs="宋体"/>
                <w:bCs/>
                <w:color w:val="000000"/>
                <w:szCs w:val="21"/>
                <w:highlight w:val="none"/>
                <w:lang w:val="en-US" w:eastAsia="zh-CN"/>
              </w:rPr>
              <w:t>清晰、有效的</w:t>
            </w:r>
            <w:r>
              <w:rPr>
                <w:rFonts w:hint="eastAsia" w:ascii="宋体" w:hAnsi="宋体" w:eastAsia="宋体" w:cs="宋体"/>
                <w:bCs/>
                <w:color w:val="000000"/>
                <w:szCs w:val="21"/>
                <w:highlight w:val="none"/>
              </w:rPr>
              <w:t>合</w:t>
            </w:r>
            <w:r>
              <w:rPr>
                <w:rFonts w:hint="eastAsia" w:ascii="宋体" w:hAnsi="宋体" w:eastAsia="宋体" w:cs="宋体"/>
                <w:bCs/>
                <w:color w:val="000000"/>
                <w:szCs w:val="21"/>
                <w:highlight w:val="none"/>
                <w:lang w:val="en-US" w:eastAsia="zh-CN"/>
              </w:rPr>
              <w:t>同关键信息复印件（如首页、内容页、签字盖章页、签订时间页、等）并</w:t>
            </w:r>
            <w:r>
              <w:rPr>
                <w:rFonts w:hint="eastAsia" w:ascii="宋体" w:hAnsi="宋体" w:eastAsia="宋体" w:cs="宋体"/>
                <w:bCs/>
                <w:szCs w:val="21"/>
                <w:highlight w:val="none"/>
              </w:rPr>
              <w:t>加盖报价人公章，</w:t>
            </w:r>
            <w:r>
              <w:rPr>
                <w:rFonts w:hint="eastAsia" w:ascii="宋体" w:hAnsi="宋体" w:eastAsia="宋体" w:cs="宋体"/>
                <w:bCs/>
                <w:szCs w:val="21"/>
                <w:highlight w:val="none"/>
                <w:lang w:val="en-US" w:eastAsia="zh-CN"/>
              </w:rPr>
              <w:t>未提供或提供不全</w:t>
            </w:r>
            <w:r>
              <w:rPr>
                <w:rFonts w:hint="eastAsia" w:ascii="宋体" w:hAnsi="宋体" w:eastAsia="宋体" w:cs="宋体"/>
                <w:bCs/>
                <w:szCs w:val="21"/>
                <w:highlight w:val="none"/>
              </w:rPr>
              <w:t>则不得分。</w:t>
            </w:r>
          </w:p>
          <w:p w14:paraId="183FF6DE">
            <w:pPr>
              <w:widowControl/>
              <w:spacing w:line="400" w:lineRule="exact"/>
              <w:rPr>
                <w:rFonts w:ascii="宋体" w:hAnsi="宋体" w:eastAsia="宋体" w:cs="宋体"/>
                <w:color w:val="000000"/>
                <w:kern w:val="2"/>
                <w:sz w:val="21"/>
                <w:szCs w:val="21"/>
                <w:lang w:val="en-US" w:eastAsia="zh-CN" w:bidi="ar-SA"/>
              </w:rPr>
            </w:pPr>
            <w:r>
              <w:rPr>
                <w:rFonts w:hint="eastAsia" w:ascii="Times New Roman" w:hAnsi="Times New Roman" w:eastAsia="宋体" w:cs="Times New Roman"/>
                <w:highlight w:val="none"/>
              </w:rPr>
              <w:t>从202</w:t>
            </w:r>
            <w:r>
              <w:rPr>
                <w:rFonts w:hint="eastAsia" w:ascii="Times New Roman" w:hAnsi="Times New Roman" w:eastAsia="宋体" w:cs="Times New Roman"/>
                <w:highlight w:val="none"/>
                <w:lang w:val="en-US" w:eastAsia="zh-CN"/>
              </w:rPr>
              <w:t>3</w:t>
            </w:r>
            <w:r>
              <w:rPr>
                <w:rFonts w:hint="eastAsia" w:ascii="Times New Roman" w:hAnsi="Times New Roman" w:eastAsia="宋体" w:cs="Times New Roman"/>
                <w:highlight w:val="none"/>
              </w:rPr>
              <w:t>年1月1日起（</w:t>
            </w:r>
            <w:r>
              <w:rPr>
                <w:rFonts w:hint="eastAsia" w:ascii="Times New Roman" w:hAnsi="Times New Roman" w:eastAsia="宋体" w:cs="Times New Roman"/>
              </w:rPr>
              <w:t>以合同签订时间为准），有同类项目业绩的，每有一个</w:t>
            </w:r>
            <w:r>
              <w:rPr>
                <w:rFonts w:hint="eastAsia" w:ascii="Times New Roman" w:hAnsi="Times New Roman" w:eastAsia="宋体" w:cs="Times New Roman"/>
                <w:highlight w:val="none"/>
              </w:rPr>
              <w:t>得</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分，最高得</w:t>
            </w:r>
            <w:r>
              <w:rPr>
                <w:rFonts w:hint="eastAsia" w:ascii="Times New Roman" w:hAnsi="Times New Roman" w:eastAsia="宋体" w:cs="Times New Roman"/>
                <w:highlight w:val="none"/>
                <w:lang w:val="en-US" w:eastAsia="zh-CN"/>
              </w:rPr>
              <w:t>8</w:t>
            </w:r>
            <w:r>
              <w:rPr>
                <w:rFonts w:hint="eastAsia" w:ascii="Times New Roman" w:hAnsi="Times New Roman" w:eastAsia="宋体" w:cs="Times New Roman"/>
                <w:highlight w:val="none"/>
              </w:rPr>
              <w:t>分</w:t>
            </w:r>
            <w:r>
              <w:rPr>
                <w:rFonts w:hint="eastAsia" w:ascii="Times New Roman" w:hAnsi="Times New Roman" w:eastAsia="宋体" w:cs="Times New Roman"/>
              </w:rPr>
              <w:t>。（同一个采购人不同时期实施的类似项目视为唯一案例）</w:t>
            </w:r>
          </w:p>
        </w:tc>
      </w:tr>
      <w:tr w14:paraId="1FEF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09B9FC3">
            <w:pPr>
              <w:widowControl/>
              <w:jc w:val="left"/>
              <w:rPr>
                <w:rFonts w:ascii="宋体" w:hAnsi="宋体" w:eastAsia="宋体" w:cs="宋体"/>
                <w:b/>
                <w:bCs/>
                <w:szCs w:val="21"/>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02BEA2AD">
            <w:pPr>
              <w:pStyle w:val="6"/>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质保方案及响应时限</w:t>
            </w:r>
          </w:p>
          <w:p w14:paraId="52ACDCC9">
            <w:pPr>
              <w:spacing w:line="400" w:lineRule="exact"/>
              <w:jc w:val="center"/>
              <w:rPr>
                <w:rFonts w:ascii="宋体" w:hAnsi="宋体" w:eastAsia="宋体" w:cs="宋体"/>
                <w:b/>
                <w:bCs/>
                <w:color w:val="000000"/>
                <w:kern w:val="2"/>
                <w:sz w:val="21"/>
                <w:szCs w:val="21"/>
                <w:highlight w:val="yellow"/>
                <w:lang w:val="en-US" w:eastAsia="zh-CN" w:bidi="ar-SA"/>
              </w:rPr>
            </w:pPr>
            <w:r>
              <w:rPr>
                <w:rFonts w:hint="eastAsia" w:ascii="宋体" w:hAnsi="宋体" w:eastAsia="宋体" w:cs="宋体"/>
                <w:b/>
                <w:bCs/>
                <w:color w:val="000000"/>
                <w:szCs w:val="21"/>
                <w:highlight w:val="none"/>
              </w:rPr>
              <w:t>（12分）</w:t>
            </w:r>
          </w:p>
        </w:tc>
        <w:tc>
          <w:tcPr>
            <w:tcW w:w="6697" w:type="dxa"/>
            <w:tcBorders>
              <w:top w:val="single" w:color="auto" w:sz="4" w:space="0"/>
              <w:left w:val="single" w:color="auto" w:sz="4" w:space="0"/>
              <w:bottom w:val="single" w:color="auto" w:sz="4" w:space="0"/>
              <w:right w:val="single" w:color="auto" w:sz="4" w:space="0"/>
            </w:tcBorders>
            <w:shd w:val="clear" w:color="auto" w:fill="auto"/>
            <w:vAlign w:val="center"/>
          </w:tcPr>
          <w:p w14:paraId="607B5C59">
            <w:pPr>
              <w:widowControl/>
              <w:spacing w:line="400" w:lineRule="atLeast"/>
              <w:rPr>
                <w:rFonts w:ascii="Times New Roman" w:hAnsi="Times New Roman" w:eastAsia="宋体" w:cs="Times New Roman"/>
                <w:b/>
                <w:highlight w:val="none"/>
              </w:rPr>
            </w:pPr>
            <w:r>
              <w:rPr>
                <w:rFonts w:hint="eastAsia" w:ascii="Times New Roman" w:hAnsi="Times New Roman" w:eastAsia="宋体" w:cs="Times New Roman"/>
                <w:b/>
                <w:highlight w:val="none"/>
              </w:rPr>
              <w:t>评审依据：</w:t>
            </w:r>
            <w:r>
              <w:rPr>
                <w:rFonts w:hint="eastAsia" w:ascii="Times New Roman" w:hAnsi="Times New Roman" w:eastAsia="宋体" w:cs="Times New Roman"/>
                <w:highlight w:val="none"/>
              </w:rPr>
              <w:t>报价人有完整的售后服务与质量保障方案</w:t>
            </w:r>
            <w:r>
              <w:rPr>
                <w:rFonts w:ascii="Times New Roman" w:hAnsi="Times New Roman" w:eastAsia="宋体" w:cs="Times New Roman"/>
                <w:highlight w:val="none"/>
              </w:rPr>
              <w:t>,</w:t>
            </w:r>
            <w:r>
              <w:rPr>
                <w:rFonts w:hint="eastAsia" w:ascii="Times New Roman" w:hAnsi="Times New Roman" w:eastAsia="宋体" w:cs="Times New Roman"/>
                <w:highlight w:val="none"/>
              </w:rPr>
              <w:t>售后服务内容、响应速度能满足采购人需求。提供售后服务与质量保障方案，加盖报价人公章，否则不得分。</w:t>
            </w:r>
          </w:p>
          <w:p w14:paraId="6E8A523A">
            <w:pPr>
              <w:widowControl/>
              <w:spacing w:line="400" w:lineRule="atLeast"/>
              <w:rPr>
                <w:rFonts w:ascii="宋体" w:hAnsi="宋体" w:eastAsia="宋体" w:cs="宋体"/>
                <w:color w:val="000000"/>
                <w:szCs w:val="21"/>
                <w:highlight w:val="none"/>
              </w:rPr>
            </w:pPr>
            <w:r>
              <w:rPr>
                <w:rFonts w:hint="eastAsia" w:ascii="宋体" w:hAnsi="宋体" w:eastAsia="宋体" w:cs="宋体"/>
                <w:color w:val="000000"/>
                <w:szCs w:val="21"/>
                <w:highlight w:val="none"/>
              </w:rPr>
              <w:t>第一档：能完成</w:t>
            </w:r>
            <w:r>
              <w:rPr>
                <w:rFonts w:hint="eastAsia" w:ascii="宋体" w:hAnsi="宋体" w:eastAsia="宋体" w:cs="宋体"/>
                <w:color w:val="000000"/>
                <w:szCs w:val="21"/>
                <w:highlight w:val="none"/>
                <w:lang w:val="en-US" w:eastAsia="zh-CN"/>
              </w:rPr>
              <w:t>本次项目</w:t>
            </w:r>
            <w:r>
              <w:rPr>
                <w:rFonts w:hint="eastAsia" w:ascii="宋体" w:hAnsi="宋体" w:eastAsia="宋体" w:cs="宋体"/>
                <w:color w:val="000000"/>
                <w:szCs w:val="21"/>
                <w:highlight w:val="none"/>
              </w:rPr>
              <w:t>各项工作要求，并按需调整；基本满足售后内容要求，响应时间6小时（不含）-8小时，得4分；</w:t>
            </w:r>
          </w:p>
          <w:p w14:paraId="37F3440D">
            <w:pPr>
              <w:widowControl/>
              <w:spacing w:line="400" w:lineRule="atLeast"/>
              <w:rPr>
                <w:rFonts w:ascii="宋体" w:hAnsi="宋体" w:eastAsia="宋体" w:cs="宋体"/>
                <w:color w:val="000000"/>
                <w:szCs w:val="21"/>
                <w:highlight w:val="none"/>
              </w:rPr>
            </w:pPr>
            <w:r>
              <w:rPr>
                <w:rFonts w:hint="eastAsia" w:ascii="宋体" w:hAnsi="宋体" w:eastAsia="宋体" w:cs="宋体"/>
                <w:color w:val="000000"/>
                <w:szCs w:val="21"/>
                <w:highlight w:val="none"/>
              </w:rPr>
              <w:t>第二档：售后内容优于采购人要求，响应时间3小时(不含)-6小时（含）；质保流程规范，能提供实质性建议，并根据需求进行数据分析、报告修改和完善等，得8分；</w:t>
            </w:r>
          </w:p>
          <w:p w14:paraId="4412A2A2">
            <w:pPr>
              <w:widowControl/>
              <w:spacing w:line="400" w:lineRule="atLeast"/>
              <w:rPr>
                <w:rFonts w:ascii="Times New Roman" w:hAnsi="Times New Roman" w:eastAsia="宋体" w:cs="Times New Roman"/>
                <w:b/>
                <w:kern w:val="2"/>
                <w:sz w:val="21"/>
                <w:szCs w:val="22"/>
                <w:highlight w:val="yellow"/>
                <w:lang w:val="en-US" w:eastAsia="zh-CN" w:bidi="ar-SA"/>
              </w:rPr>
            </w:pPr>
            <w:r>
              <w:rPr>
                <w:rFonts w:hint="eastAsia" w:ascii="宋体" w:hAnsi="宋体" w:eastAsia="宋体" w:cs="宋体"/>
                <w:color w:val="000000"/>
                <w:szCs w:val="21"/>
                <w:highlight w:val="none"/>
              </w:rPr>
              <w:t>第三档： 对项目的后续服务有明确可行的预案，包含：调查问卷数据、报告等内容的交货期和质保期承诺，质保期限内外服务承诺，调查问卷数据、报告等内容质量承诺、其他服务等，响应时间3小时内（含3小时），得12分。</w:t>
            </w:r>
          </w:p>
        </w:tc>
      </w:tr>
      <w:tr w14:paraId="7C25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99" w:type="dxa"/>
            <w:vMerge w:val="restart"/>
            <w:tcBorders>
              <w:top w:val="single" w:color="auto" w:sz="4" w:space="0"/>
              <w:left w:val="single" w:color="auto" w:sz="4" w:space="0"/>
              <w:bottom w:val="single" w:color="auto" w:sz="4" w:space="0"/>
              <w:right w:val="single" w:color="auto" w:sz="4" w:space="0"/>
            </w:tcBorders>
            <w:vAlign w:val="center"/>
          </w:tcPr>
          <w:p w14:paraId="7105884B">
            <w:pPr>
              <w:spacing w:line="400" w:lineRule="exact"/>
              <w:jc w:val="center"/>
              <w:rPr>
                <w:rFonts w:ascii="宋体" w:hAnsi="宋体" w:eastAsia="宋体" w:cs="宋体"/>
                <w:b/>
                <w:bCs/>
                <w:szCs w:val="21"/>
              </w:rPr>
            </w:pPr>
            <w:r>
              <w:rPr>
                <w:rFonts w:hint="eastAsia" w:ascii="宋体" w:hAnsi="宋体" w:eastAsia="宋体" w:cs="宋体"/>
                <w:b/>
                <w:bCs/>
                <w:szCs w:val="21"/>
              </w:rPr>
              <w:t>3.技术部分</w:t>
            </w:r>
          </w:p>
          <w:p w14:paraId="0FDE936E">
            <w:pPr>
              <w:spacing w:line="400" w:lineRule="exact"/>
              <w:jc w:val="center"/>
              <w:rPr>
                <w:rFonts w:ascii="宋体" w:hAnsi="宋体" w:eastAsia="宋体" w:cs="宋体"/>
                <w:b/>
                <w:bCs/>
                <w:szCs w:val="21"/>
              </w:rPr>
            </w:pPr>
            <w:r>
              <w:rPr>
                <w:rFonts w:hint="eastAsia" w:ascii="宋体" w:hAnsi="宋体" w:eastAsia="宋体" w:cs="宋体"/>
                <w:b/>
                <w:bCs/>
                <w:szCs w:val="21"/>
              </w:rPr>
              <w:t>（</w:t>
            </w:r>
            <w:r>
              <w:rPr>
                <w:rFonts w:hint="eastAsia" w:ascii="宋体" w:hAnsi="宋体" w:eastAsia="宋体" w:cs="宋体"/>
                <w:b/>
                <w:bCs/>
                <w:szCs w:val="21"/>
                <w:lang w:val="en-US" w:eastAsia="zh-CN"/>
              </w:rPr>
              <w:t>50</w:t>
            </w:r>
            <w:r>
              <w:rPr>
                <w:rFonts w:hint="eastAsia" w:ascii="宋体" w:hAnsi="宋体" w:eastAsia="宋体" w:cs="宋体"/>
                <w:b/>
                <w:bCs/>
                <w:szCs w:val="21"/>
              </w:rPr>
              <w:t>分）</w:t>
            </w:r>
          </w:p>
        </w:tc>
        <w:tc>
          <w:tcPr>
            <w:tcW w:w="1373" w:type="dxa"/>
            <w:tcBorders>
              <w:top w:val="single" w:color="auto" w:sz="4" w:space="0"/>
              <w:left w:val="single" w:color="auto" w:sz="4" w:space="0"/>
              <w:bottom w:val="single" w:color="auto" w:sz="4" w:space="0"/>
              <w:right w:val="single" w:color="auto" w:sz="4" w:space="0"/>
            </w:tcBorders>
            <w:vAlign w:val="center"/>
          </w:tcPr>
          <w:p w14:paraId="57A6104F">
            <w:pPr>
              <w:spacing w:line="400" w:lineRule="exact"/>
              <w:jc w:val="center"/>
              <w:rPr>
                <w:rFonts w:ascii="宋体" w:hAnsi="宋体" w:eastAsia="宋体" w:cs="宋体"/>
                <w:szCs w:val="21"/>
              </w:rPr>
            </w:pPr>
            <w:r>
              <w:rPr>
                <w:rFonts w:hint="eastAsia" w:ascii="宋体" w:hAnsi="宋体" w:eastAsia="宋体" w:cs="宋体"/>
                <w:b/>
                <w:bCs/>
                <w:color w:val="000000"/>
                <w:szCs w:val="21"/>
              </w:rPr>
              <w:t>项目方案总体设计（15分</w:t>
            </w:r>
            <w:r>
              <w:rPr>
                <w:rFonts w:hint="eastAsia" w:ascii="宋体" w:hAnsi="宋体" w:eastAsia="宋体" w:cs="宋体"/>
                <w:b/>
                <w:bCs/>
                <w:szCs w:val="21"/>
              </w:rPr>
              <w:t>）</w:t>
            </w:r>
          </w:p>
        </w:tc>
        <w:tc>
          <w:tcPr>
            <w:tcW w:w="6697" w:type="dxa"/>
            <w:tcBorders>
              <w:top w:val="single" w:color="auto" w:sz="4" w:space="0"/>
              <w:left w:val="single" w:color="auto" w:sz="4" w:space="0"/>
              <w:bottom w:val="single" w:color="auto" w:sz="4" w:space="0"/>
              <w:right w:val="single" w:color="auto" w:sz="4" w:space="0"/>
            </w:tcBorders>
            <w:vAlign w:val="center"/>
          </w:tcPr>
          <w:p w14:paraId="2FDAC1A5">
            <w:pPr>
              <w:spacing w:line="400" w:lineRule="exact"/>
              <w:rPr>
                <w:rFonts w:ascii="宋体" w:hAnsi="宋体" w:eastAsia="宋体" w:cs="宋体"/>
                <w:color w:val="000000"/>
                <w:szCs w:val="21"/>
              </w:rPr>
            </w:pPr>
            <w:r>
              <w:rPr>
                <w:rFonts w:hint="eastAsia" w:ascii="宋体" w:hAnsi="宋体" w:eastAsia="宋体" w:cs="宋体"/>
                <w:b/>
                <w:color w:val="000000"/>
                <w:szCs w:val="21"/>
              </w:rPr>
              <w:t>评审依据：</w:t>
            </w:r>
            <w:r>
              <w:rPr>
                <w:rFonts w:hint="eastAsia" w:ascii="宋体" w:hAnsi="宋体" w:eastAsia="宋体" w:cs="宋体"/>
                <w:color w:val="000000"/>
                <w:szCs w:val="21"/>
              </w:rPr>
              <w:t>根据报价人对项目背景、概况，项目服务目标和范围，项目特点、重点、难点分析，项目风险分析及控制措施进行分析。提供项目方案，加盖报价人公章，否则不得分。</w:t>
            </w:r>
          </w:p>
          <w:p w14:paraId="36B42407">
            <w:pPr>
              <w:spacing w:line="400" w:lineRule="exact"/>
              <w:rPr>
                <w:rFonts w:ascii="宋体" w:hAnsi="宋体" w:eastAsia="宋体" w:cs="宋体"/>
                <w:color w:val="000000"/>
                <w:szCs w:val="21"/>
              </w:rPr>
            </w:pPr>
            <w:r>
              <w:rPr>
                <w:rFonts w:hint="eastAsia" w:ascii="宋体" w:hAnsi="宋体" w:eastAsia="宋体" w:cs="宋体"/>
                <w:color w:val="000000"/>
                <w:szCs w:val="21"/>
              </w:rPr>
              <w:t>第一档：项目设计方案内容基本可行，设计内容符合</w:t>
            </w:r>
            <w:r>
              <w:rPr>
                <w:rFonts w:hint="eastAsia" w:ascii="宋体" w:hAnsi="宋体" w:eastAsia="宋体" w:cs="宋体"/>
                <w:color w:val="000000"/>
                <w:szCs w:val="21"/>
                <w:lang w:val="en-US" w:eastAsia="zh-CN"/>
              </w:rPr>
              <w:t>采购人</w:t>
            </w:r>
            <w:r>
              <w:rPr>
                <w:rFonts w:hint="eastAsia" w:ascii="宋体" w:hAnsi="宋体" w:eastAsia="宋体" w:cs="宋体"/>
                <w:color w:val="000000"/>
                <w:szCs w:val="21"/>
              </w:rPr>
              <w:t>实际需求，其他增值服务内容一般，得5分；</w:t>
            </w:r>
          </w:p>
          <w:p w14:paraId="37D6E4A7">
            <w:pPr>
              <w:spacing w:line="400" w:lineRule="exact"/>
              <w:rPr>
                <w:rFonts w:ascii="宋体" w:hAnsi="宋体" w:eastAsia="宋体" w:cs="宋体"/>
                <w:color w:val="000000"/>
                <w:szCs w:val="21"/>
              </w:rPr>
            </w:pPr>
            <w:r>
              <w:rPr>
                <w:rFonts w:hint="eastAsia" w:ascii="宋体" w:hAnsi="宋体" w:eastAsia="宋体" w:cs="宋体"/>
                <w:color w:val="000000"/>
                <w:szCs w:val="21"/>
              </w:rPr>
              <w:t>第二档：项目设计方案比较全面，对项目初步效果评估及最终服务成果的验收有</w:t>
            </w:r>
            <w:r>
              <w:rPr>
                <w:rFonts w:hint="eastAsia" w:ascii="宋体" w:hAnsi="宋体" w:eastAsia="宋体" w:cs="宋体"/>
                <w:color w:val="000000"/>
                <w:szCs w:val="21"/>
                <w:lang w:val="en-US" w:eastAsia="zh-CN"/>
              </w:rPr>
              <w:t>基本</w:t>
            </w:r>
            <w:r>
              <w:rPr>
                <w:rFonts w:hint="eastAsia" w:ascii="宋体" w:hAnsi="宋体" w:eastAsia="宋体" w:cs="宋体"/>
                <w:color w:val="000000"/>
                <w:szCs w:val="21"/>
              </w:rPr>
              <w:t>工作方案，对服务质量有</w:t>
            </w:r>
            <w:r>
              <w:rPr>
                <w:rFonts w:hint="eastAsia" w:ascii="宋体" w:hAnsi="宋体" w:eastAsia="宋体" w:cs="宋体"/>
                <w:color w:val="000000"/>
                <w:szCs w:val="21"/>
                <w:lang w:val="en-US" w:eastAsia="zh-CN"/>
              </w:rPr>
              <w:t>基本</w:t>
            </w:r>
            <w:r>
              <w:rPr>
                <w:rFonts w:hint="eastAsia" w:ascii="宋体" w:hAnsi="宋体" w:eastAsia="宋体" w:cs="宋体"/>
                <w:color w:val="000000"/>
                <w:szCs w:val="21"/>
              </w:rPr>
              <w:t>保证承诺，得10分；</w:t>
            </w:r>
          </w:p>
          <w:p w14:paraId="648044B2">
            <w:pPr>
              <w:spacing w:line="400" w:lineRule="exact"/>
              <w:rPr>
                <w:rFonts w:ascii="Times New Roman" w:hAnsi="Times New Roman" w:eastAsia="宋体" w:cs="Times New Roman"/>
              </w:rPr>
            </w:pPr>
            <w:r>
              <w:rPr>
                <w:rFonts w:hint="eastAsia" w:ascii="宋体" w:hAnsi="宋体" w:eastAsia="宋体" w:cs="宋体"/>
                <w:color w:val="000000"/>
                <w:szCs w:val="21"/>
              </w:rPr>
              <w:t>第三档：项目设计方案中使用自主知识产权系统（包含大数据调研管理系统、就业分析系统、职业发展评测系统、专业诊断分析系统等</w:t>
            </w:r>
            <w:r>
              <w:rPr>
                <w:rFonts w:hint="eastAsia" w:ascii="宋体" w:hAnsi="宋体" w:eastAsia="宋体" w:cs="宋体"/>
                <w:color w:val="000000"/>
                <w:szCs w:val="21"/>
                <w:lang w:val="en-US" w:eastAsia="zh-CN"/>
              </w:rPr>
              <w:t>任1项</w:t>
            </w:r>
            <w:r>
              <w:rPr>
                <w:rFonts w:hint="eastAsia" w:ascii="宋体" w:hAnsi="宋体" w:eastAsia="宋体" w:cs="宋体"/>
                <w:color w:val="000000"/>
                <w:szCs w:val="21"/>
              </w:rPr>
              <w:t>），</w:t>
            </w:r>
            <w:r>
              <w:rPr>
                <w:rFonts w:hint="eastAsia"/>
              </w:rPr>
              <w:t>横向对比国家“双高”院校、职业本科高校</w:t>
            </w:r>
            <w:r>
              <w:rPr>
                <w:rFonts w:hint="eastAsia"/>
                <w:highlight w:val="none"/>
                <w:lang w:eastAsia="zh-CN"/>
              </w:rPr>
              <w:t>（</w:t>
            </w:r>
            <w:r>
              <w:rPr>
                <w:rFonts w:hint="eastAsia"/>
                <w:highlight w:val="none"/>
                <w:lang w:val="en-US" w:eastAsia="zh-CN"/>
              </w:rPr>
              <w:t>须提供能力证明承诺书</w:t>
            </w:r>
            <w:r>
              <w:rPr>
                <w:rFonts w:hint="eastAsia"/>
                <w:highlight w:val="none"/>
                <w:lang w:eastAsia="zh-CN"/>
              </w:rPr>
              <w:t>）</w:t>
            </w:r>
            <w:r>
              <w:rPr>
                <w:rFonts w:hint="eastAsia" w:ascii="宋体" w:hAnsi="宋体" w:eastAsia="宋体" w:cs="宋体"/>
                <w:color w:val="000000"/>
                <w:szCs w:val="21"/>
              </w:rPr>
              <w:t>，帮助</w:t>
            </w:r>
            <w:r>
              <w:rPr>
                <w:rFonts w:hint="eastAsia" w:ascii="宋体" w:hAnsi="宋体" w:eastAsia="宋体" w:cs="宋体"/>
                <w:color w:val="000000"/>
                <w:szCs w:val="21"/>
                <w:lang w:val="en-US" w:eastAsia="zh-CN"/>
              </w:rPr>
              <w:t>采购人</w:t>
            </w:r>
            <w:r>
              <w:rPr>
                <w:rFonts w:hint="eastAsia" w:ascii="宋体" w:hAnsi="宋体" w:eastAsia="宋体" w:cs="宋体"/>
                <w:color w:val="000000"/>
                <w:szCs w:val="21"/>
              </w:rPr>
              <w:t>找出自身优势、差距、改进方向等</w:t>
            </w:r>
            <w:r>
              <w:rPr>
                <w:rFonts w:hint="eastAsia" w:ascii="宋体" w:hAnsi="宋体" w:eastAsia="宋体" w:cs="宋体"/>
                <w:color w:val="000000"/>
                <w:szCs w:val="21"/>
                <w:lang w:eastAsia="zh-CN"/>
              </w:rPr>
              <w:t>。</w:t>
            </w:r>
            <w:r>
              <w:rPr>
                <w:rFonts w:hint="eastAsia" w:ascii="宋体" w:hAnsi="宋体" w:eastAsia="宋体" w:cs="宋体"/>
                <w:color w:val="000000"/>
                <w:szCs w:val="21"/>
              </w:rPr>
              <w:t>对项目初步效果评估及最终服务成果的验收有详细的工作方案，对项目的初步效果评估和服务质量有清晰保证承诺，得15分。</w:t>
            </w:r>
          </w:p>
        </w:tc>
      </w:tr>
      <w:tr w14:paraId="0B4E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5700918">
            <w:pPr>
              <w:widowControl/>
              <w:jc w:val="left"/>
              <w:rPr>
                <w:rFonts w:ascii="宋体" w:hAnsi="宋体" w:eastAsia="宋体" w:cs="宋体"/>
                <w:b/>
                <w:bCs/>
                <w:szCs w:val="21"/>
              </w:rPr>
            </w:pPr>
          </w:p>
        </w:tc>
        <w:tc>
          <w:tcPr>
            <w:tcW w:w="1373" w:type="dxa"/>
            <w:tcBorders>
              <w:top w:val="single" w:color="auto" w:sz="4" w:space="0"/>
              <w:left w:val="single" w:color="auto" w:sz="4" w:space="0"/>
              <w:bottom w:val="single" w:color="auto" w:sz="4" w:space="0"/>
              <w:right w:val="single" w:color="auto" w:sz="4" w:space="0"/>
            </w:tcBorders>
            <w:vAlign w:val="center"/>
          </w:tcPr>
          <w:p w14:paraId="35797AB3">
            <w:pPr>
              <w:spacing w:line="400" w:lineRule="exact"/>
              <w:jc w:val="center"/>
              <w:rPr>
                <w:rFonts w:ascii="宋体" w:hAnsi="宋体" w:eastAsia="宋体" w:cs="宋体"/>
                <w:b/>
                <w:bCs/>
                <w:szCs w:val="21"/>
              </w:rPr>
            </w:pPr>
            <w:r>
              <w:rPr>
                <w:rFonts w:hint="eastAsia" w:ascii="宋体" w:hAnsi="宋体" w:eastAsia="宋体" w:cs="宋体"/>
                <w:b/>
                <w:bCs/>
                <w:color w:val="000000"/>
                <w:szCs w:val="21"/>
              </w:rPr>
              <w:t>项目技术方案（</w:t>
            </w:r>
            <w:r>
              <w:rPr>
                <w:rFonts w:hint="eastAsia" w:ascii="宋体" w:hAnsi="宋体" w:eastAsia="宋体" w:cs="宋体"/>
                <w:b/>
                <w:bCs/>
                <w:color w:val="000000"/>
                <w:szCs w:val="21"/>
                <w:lang w:val="en-US" w:eastAsia="zh-CN"/>
              </w:rPr>
              <w:t>20</w:t>
            </w:r>
            <w:r>
              <w:rPr>
                <w:rFonts w:hint="eastAsia" w:ascii="宋体" w:hAnsi="宋体" w:eastAsia="宋体" w:cs="宋体"/>
                <w:b/>
                <w:bCs/>
                <w:color w:val="000000"/>
                <w:szCs w:val="21"/>
              </w:rPr>
              <w:t>分）</w:t>
            </w:r>
          </w:p>
        </w:tc>
        <w:tc>
          <w:tcPr>
            <w:tcW w:w="6697" w:type="dxa"/>
            <w:tcBorders>
              <w:top w:val="single" w:color="auto" w:sz="4" w:space="0"/>
              <w:left w:val="single" w:color="auto" w:sz="4" w:space="0"/>
              <w:bottom w:val="single" w:color="auto" w:sz="4" w:space="0"/>
              <w:right w:val="single" w:color="auto" w:sz="4" w:space="0"/>
            </w:tcBorders>
            <w:vAlign w:val="center"/>
          </w:tcPr>
          <w:p w14:paraId="04A7B786">
            <w:pPr>
              <w:widowControl/>
              <w:spacing w:line="400" w:lineRule="exact"/>
              <w:rPr>
                <w:rFonts w:ascii="宋体" w:hAnsi="宋体" w:eastAsia="宋体" w:cs="宋体"/>
                <w:bCs/>
                <w:color w:val="000000"/>
                <w:szCs w:val="21"/>
              </w:rPr>
            </w:pPr>
            <w:r>
              <w:rPr>
                <w:rFonts w:hint="eastAsia" w:ascii="宋体" w:hAnsi="宋体" w:eastAsia="宋体" w:cs="宋体"/>
                <w:b/>
                <w:bCs/>
                <w:color w:val="000000"/>
                <w:szCs w:val="21"/>
              </w:rPr>
              <w:t>评审依据：</w:t>
            </w:r>
            <w:r>
              <w:rPr>
                <w:rFonts w:hint="eastAsia" w:ascii="宋体" w:hAnsi="宋体" w:eastAsia="宋体" w:cs="宋体"/>
                <w:color w:val="000000"/>
                <w:szCs w:val="21"/>
              </w:rPr>
              <w:t>报价人为技术支持方，负责项目的整体设计、问卷设计、项目实施、统计分析、报告撰写</w:t>
            </w:r>
            <w:r>
              <w:rPr>
                <w:rFonts w:hint="eastAsia" w:ascii="宋体" w:hAnsi="宋体" w:eastAsia="宋体" w:cs="宋体"/>
                <w:szCs w:val="21"/>
              </w:rPr>
              <w:t>、指导管理短板改进</w:t>
            </w:r>
            <w:r>
              <w:rPr>
                <w:rFonts w:hint="eastAsia" w:ascii="宋体" w:hAnsi="宋体" w:eastAsia="宋体" w:cs="宋体"/>
                <w:bCs/>
                <w:color w:val="000000"/>
                <w:szCs w:val="21"/>
                <w:lang w:val="en-US" w:eastAsia="zh-CN"/>
              </w:rPr>
              <w:t>等</w:t>
            </w:r>
            <w:r>
              <w:rPr>
                <w:rFonts w:hint="eastAsia" w:ascii="宋体" w:hAnsi="宋体" w:eastAsia="宋体" w:cs="宋体"/>
                <w:bCs/>
                <w:color w:val="000000"/>
                <w:szCs w:val="21"/>
              </w:rPr>
              <w:t>方案加盖报价人公章，否则不得分。</w:t>
            </w:r>
          </w:p>
          <w:p w14:paraId="3CB5442F">
            <w:pPr>
              <w:widowControl/>
              <w:spacing w:line="400" w:lineRule="exact"/>
              <w:rPr>
                <w:rFonts w:ascii="宋体" w:hAnsi="宋体" w:eastAsia="宋体" w:cs="宋体"/>
                <w:color w:val="000000"/>
                <w:szCs w:val="21"/>
              </w:rPr>
            </w:pPr>
            <w:r>
              <w:rPr>
                <w:rFonts w:hint="eastAsia" w:ascii="宋体" w:hAnsi="宋体" w:eastAsia="宋体" w:cs="宋体"/>
                <w:color w:val="000000"/>
                <w:szCs w:val="21"/>
              </w:rPr>
              <w:t>第一档：能完成问卷调查各项工作要求，并按需调整，5分；</w:t>
            </w:r>
          </w:p>
          <w:p w14:paraId="11059BB0">
            <w:pPr>
              <w:widowControl/>
              <w:spacing w:line="400" w:lineRule="exact"/>
              <w:rPr>
                <w:rFonts w:ascii="宋体" w:hAnsi="宋体" w:eastAsia="宋体" w:cs="宋体"/>
                <w:color w:val="000000"/>
                <w:szCs w:val="21"/>
              </w:rPr>
            </w:pPr>
            <w:r>
              <w:rPr>
                <w:rFonts w:hint="eastAsia" w:ascii="宋体" w:hAnsi="宋体" w:eastAsia="宋体" w:cs="宋体"/>
                <w:color w:val="000000"/>
                <w:szCs w:val="21"/>
              </w:rPr>
              <w:t>第二档：能针对本项目的服务内容进行深入的分析，对服务要求有较深入透彻的理解，有能力根据需求进行数据分析、报告修改和完善等，得10分；</w:t>
            </w:r>
          </w:p>
          <w:p w14:paraId="1C26B8A7">
            <w:pPr>
              <w:widowControl/>
              <w:spacing w:line="400" w:lineRule="exact"/>
              <w:rPr>
                <w:rFonts w:hint="eastAsia" w:ascii="宋体" w:hAnsi="宋体" w:eastAsia="宋体" w:cs="宋体"/>
                <w:color w:val="000000"/>
                <w:szCs w:val="21"/>
                <w:lang w:eastAsia="zh-CN"/>
              </w:rPr>
            </w:pPr>
            <w:r>
              <w:rPr>
                <w:rFonts w:hint="eastAsia" w:ascii="宋体" w:hAnsi="宋体" w:eastAsia="宋体" w:cs="宋体"/>
                <w:color w:val="000000"/>
                <w:szCs w:val="21"/>
              </w:rPr>
              <w:t>第三档</w:t>
            </w:r>
            <w:r>
              <w:rPr>
                <w:rFonts w:hint="eastAsia" w:ascii="宋体" w:hAnsi="宋体" w:eastAsia="宋体" w:cs="宋体"/>
                <w:color w:val="000000"/>
                <w:szCs w:val="21"/>
                <w:lang w:eastAsia="zh-CN"/>
              </w:rPr>
              <w:t>：</w:t>
            </w:r>
            <w:r>
              <w:rPr>
                <w:rFonts w:hint="eastAsia" w:ascii="宋体" w:hAnsi="宋体" w:eastAsia="宋体" w:cs="宋体"/>
                <w:color w:val="000000"/>
                <w:szCs w:val="21"/>
              </w:rPr>
              <w:t>能够结合其他院校案例及采购人实际情况对本项目建设重点和难点进行分析，并能给出针对性解决问题的工作方案，得15分</w:t>
            </w:r>
            <w:r>
              <w:rPr>
                <w:rFonts w:hint="eastAsia" w:ascii="宋体" w:hAnsi="宋体" w:eastAsia="宋体" w:cs="宋体"/>
                <w:color w:val="000000"/>
                <w:szCs w:val="21"/>
                <w:lang w:eastAsia="zh-CN"/>
              </w:rPr>
              <w:t>；</w:t>
            </w:r>
          </w:p>
          <w:p w14:paraId="28E73ABD">
            <w:pPr>
              <w:widowControl/>
              <w:spacing w:line="400" w:lineRule="exact"/>
              <w:rPr>
                <w:rFonts w:hint="eastAsia" w:ascii="宋体" w:hAnsi="宋体" w:eastAsia="宋体" w:cs="宋体"/>
                <w:color w:val="000000"/>
                <w:szCs w:val="21"/>
              </w:rPr>
            </w:pPr>
            <w:r>
              <w:rPr>
                <w:rFonts w:hint="eastAsia" w:ascii="宋体" w:hAnsi="宋体" w:eastAsia="宋体" w:cs="宋体"/>
                <w:color w:val="000000"/>
                <w:szCs w:val="21"/>
              </w:rPr>
              <w:t>第四档</w:t>
            </w:r>
            <w:r>
              <w:rPr>
                <w:rFonts w:hint="eastAsia" w:ascii="宋体" w:hAnsi="宋体" w:eastAsia="宋体" w:cs="宋体"/>
                <w:color w:val="000000"/>
                <w:szCs w:val="21"/>
                <w:lang w:eastAsia="zh-CN"/>
              </w:rPr>
              <w:t>：</w:t>
            </w:r>
            <w:r>
              <w:rPr>
                <w:rFonts w:hint="eastAsia" w:ascii="宋体" w:hAnsi="宋体" w:eastAsia="宋体" w:cs="宋体"/>
                <w:color w:val="000000"/>
                <w:szCs w:val="21"/>
              </w:rPr>
              <w:t>能针对区域重点产业就业分析，需细分到区</w:t>
            </w:r>
            <w:r>
              <w:rPr>
                <w:rFonts w:hint="eastAsia" w:ascii="宋体" w:hAnsi="宋体" w:eastAsia="宋体" w:cs="宋体"/>
                <w:color w:val="000000"/>
                <w:szCs w:val="21"/>
                <w:lang w:val="en-US" w:eastAsia="zh-CN"/>
              </w:rPr>
              <w:t>级</w:t>
            </w:r>
            <w:r>
              <w:rPr>
                <w:rFonts w:hint="eastAsia" w:ascii="宋体" w:hAnsi="宋体" w:eastAsia="宋体" w:cs="宋体"/>
                <w:color w:val="000000"/>
                <w:szCs w:val="21"/>
              </w:rPr>
              <w:t>（含面向中国-东盟合作领域）重点产业集群，分析重点产业教育就业情况的，并且能同步提供全国同类型高校（全国专科对比参照系、全国“双高”对比参照系、全国职业本科对比参照系）等数据分析对比的，得20分。</w:t>
            </w:r>
          </w:p>
        </w:tc>
      </w:tr>
      <w:tr w14:paraId="48BC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7FECF24">
            <w:pPr>
              <w:widowControl/>
              <w:jc w:val="left"/>
              <w:rPr>
                <w:rFonts w:ascii="宋体" w:hAnsi="宋体" w:eastAsia="宋体" w:cs="宋体"/>
                <w:b/>
                <w:bCs/>
                <w:szCs w:val="21"/>
              </w:rPr>
            </w:pPr>
          </w:p>
        </w:tc>
        <w:tc>
          <w:tcPr>
            <w:tcW w:w="1373" w:type="dxa"/>
            <w:tcBorders>
              <w:top w:val="single" w:color="auto" w:sz="4" w:space="0"/>
              <w:left w:val="single" w:color="auto" w:sz="4" w:space="0"/>
              <w:bottom w:val="single" w:color="auto" w:sz="4" w:space="0"/>
              <w:right w:val="single" w:color="auto" w:sz="4" w:space="0"/>
            </w:tcBorders>
            <w:vAlign w:val="center"/>
          </w:tcPr>
          <w:p w14:paraId="2FA4F4F0">
            <w:pPr>
              <w:spacing w:line="400" w:lineRule="exact"/>
              <w:jc w:val="center"/>
              <w:rPr>
                <w:rFonts w:ascii="宋体" w:hAnsi="宋体" w:eastAsia="宋体" w:cs="宋体"/>
                <w:b/>
                <w:bCs/>
                <w:color w:val="000000"/>
                <w:szCs w:val="21"/>
              </w:rPr>
            </w:pPr>
            <w:r>
              <w:rPr>
                <w:rFonts w:hint="eastAsia" w:ascii="宋体" w:hAnsi="宋体" w:eastAsia="宋体" w:cs="宋体"/>
                <w:b/>
                <w:bCs/>
                <w:color w:val="000000"/>
                <w:szCs w:val="21"/>
              </w:rPr>
              <w:t>项目实施计划（15分）</w:t>
            </w:r>
          </w:p>
        </w:tc>
        <w:tc>
          <w:tcPr>
            <w:tcW w:w="6697" w:type="dxa"/>
            <w:tcBorders>
              <w:top w:val="single" w:color="auto" w:sz="4" w:space="0"/>
              <w:left w:val="single" w:color="auto" w:sz="4" w:space="0"/>
              <w:bottom w:val="single" w:color="auto" w:sz="4" w:space="0"/>
              <w:right w:val="single" w:color="auto" w:sz="4" w:space="0"/>
            </w:tcBorders>
            <w:vAlign w:val="center"/>
          </w:tcPr>
          <w:p w14:paraId="7EE0A52A">
            <w:pPr>
              <w:widowControl/>
              <w:spacing w:line="400" w:lineRule="exact"/>
              <w:rPr>
                <w:rFonts w:ascii="宋体" w:hAnsi="宋体" w:eastAsia="宋体" w:cs="宋体"/>
                <w:color w:val="000000"/>
                <w:szCs w:val="21"/>
              </w:rPr>
            </w:pPr>
            <w:r>
              <w:rPr>
                <w:rFonts w:hint="eastAsia" w:ascii="宋体" w:hAnsi="宋体" w:eastAsia="宋体" w:cs="宋体"/>
                <w:b/>
                <w:color w:val="000000"/>
                <w:szCs w:val="21"/>
              </w:rPr>
              <w:t>评审依据：</w:t>
            </w:r>
            <w:r>
              <w:rPr>
                <w:rFonts w:hint="eastAsia" w:ascii="宋体" w:hAnsi="宋体" w:eastAsia="宋体" w:cs="宋体"/>
                <w:color w:val="000000"/>
                <w:szCs w:val="21"/>
              </w:rPr>
              <w:t>结合项目采购人实际情况</w:t>
            </w:r>
            <w:r>
              <w:rPr>
                <w:rFonts w:hint="eastAsia" w:ascii="宋体" w:hAnsi="宋体" w:eastAsia="宋体" w:cs="宋体"/>
                <w:bCs/>
                <w:color w:val="000000"/>
                <w:szCs w:val="21"/>
              </w:rPr>
              <w:t>提供实施计划</w:t>
            </w:r>
            <w:r>
              <w:rPr>
                <w:rFonts w:hint="eastAsia" w:ascii="宋体" w:hAnsi="宋体" w:eastAsia="宋体" w:cs="宋体"/>
                <w:color w:val="000000"/>
                <w:szCs w:val="21"/>
              </w:rPr>
              <w:t>，制订包括</w:t>
            </w:r>
            <w:r>
              <w:rPr>
                <w:rFonts w:hint="eastAsia" w:ascii="宋体" w:hAnsi="宋体" w:eastAsia="宋体" w:cs="宋体"/>
                <w:szCs w:val="21"/>
              </w:rPr>
              <w:t>进度计划、组织计划、实施计划、验收</w:t>
            </w:r>
            <w:r>
              <w:rPr>
                <w:rFonts w:hint="eastAsia" w:ascii="宋体" w:hAnsi="宋体" w:eastAsia="宋体" w:cs="宋体"/>
                <w:color w:val="000000"/>
                <w:szCs w:val="21"/>
              </w:rPr>
              <w:t>等方面工作的整体解决方案并</w:t>
            </w:r>
            <w:r>
              <w:rPr>
                <w:rFonts w:hint="eastAsia" w:ascii="宋体" w:hAnsi="宋体" w:eastAsia="宋体" w:cs="宋体"/>
                <w:bCs/>
                <w:color w:val="000000"/>
                <w:szCs w:val="21"/>
              </w:rPr>
              <w:t>加盖报价人公章，否则不得分。</w:t>
            </w:r>
          </w:p>
          <w:p w14:paraId="328CE827">
            <w:pPr>
              <w:widowControl/>
              <w:spacing w:line="400" w:lineRule="exact"/>
              <w:rPr>
                <w:rFonts w:ascii="宋体" w:hAnsi="宋体" w:eastAsia="宋体" w:cs="宋体"/>
                <w:color w:val="000000"/>
                <w:szCs w:val="21"/>
              </w:rPr>
            </w:pPr>
            <w:r>
              <w:rPr>
                <w:rFonts w:hint="eastAsia" w:ascii="宋体" w:hAnsi="宋体" w:eastAsia="宋体" w:cs="宋体"/>
                <w:color w:val="000000"/>
                <w:szCs w:val="21"/>
              </w:rPr>
              <w:t>第一档：能完成项目各项基本工作要求，得5分；</w:t>
            </w:r>
          </w:p>
          <w:p w14:paraId="62B2E852">
            <w:pPr>
              <w:widowControl/>
              <w:spacing w:line="400" w:lineRule="exact"/>
              <w:rPr>
                <w:rFonts w:ascii="宋体" w:hAnsi="宋体" w:eastAsia="宋体" w:cs="宋体"/>
                <w:color w:val="000000"/>
                <w:szCs w:val="21"/>
              </w:rPr>
            </w:pPr>
            <w:r>
              <w:rPr>
                <w:rFonts w:hint="eastAsia" w:ascii="宋体" w:hAnsi="宋体" w:eastAsia="宋体" w:cs="宋体"/>
                <w:color w:val="000000"/>
                <w:szCs w:val="21"/>
              </w:rPr>
              <w:t>第二档：制定详细、可操作的时间进度控制计划，参与项目各环节的落地与实施，有较为明确的工作方法和推进时间结点和问题协调机制，得10分；</w:t>
            </w:r>
          </w:p>
          <w:p w14:paraId="36C30AF0">
            <w:pPr>
              <w:pStyle w:val="6"/>
              <w:rPr>
                <w:rFonts w:ascii="宋体" w:hAnsi="宋体" w:eastAsia="宋体" w:cs="宋体"/>
                <w:color w:val="000000"/>
                <w:szCs w:val="21"/>
              </w:rPr>
            </w:pPr>
            <w:r>
              <w:rPr>
                <w:rFonts w:hint="eastAsia" w:ascii="宋体" w:hAnsi="宋体" w:eastAsia="宋体" w:cs="宋体"/>
                <w:color w:val="000000"/>
                <w:szCs w:val="21"/>
              </w:rPr>
              <w:t>第三档：实施方案内容完整规范、具体可行，各项服务内容</w:t>
            </w:r>
            <w:r>
              <w:rPr>
                <w:rFonts w:hint="eastAsia"/>
                <w:highlight w:val="none"/>
                <w:lang w:val="en-US" w:eastAsia="zh-CN"/>
              </w:rPr>
              <w:t>优于项目要求并提供其他增值服务</w:t>
            </w:r>
            <w:r>
              <w:rPr>
                <w:rFonts w:hint="eastAsia" w:ascii="宋体" w:hAnsi="宋体" w:eastAsia="宋体" w:cs="宋体"/>
                <w:color w:val="000000"/>
                <w:szCs w:val="21"/>
                <w:highlight w:val="none"/>
              </w:rPr>
              <w:t>，增加其他服务内容，项目实施程序与步</w:t>
            </w:r>
            <w:r>
              <w:rPr>
                <w:rFonts w:hint="eastAsia" w:ascii="宋体" w:hAnsi="宋体" w:eastAsia="宋体" w:cs="宋体"/>
                <w:color w:val="000000"/>
                <w:szCs w:val="21"/>
              </w:rPr>
              <w:t>骤清晰、合理，项目双方任务分工明确，责任界定清晰，可操作性强，得15分。</w:t>
            </w:r>
          </w:p>
        </w:tc>
      </w:tr>
    </w:tbl>
    <w:p w14:paraId="2FA6E10E">
      <w:pPr>
        <w:pStyle w:val="7"/>
      </w:pPr>
    </w:p>
    <w:p w14:paraId="3E8A158F">
      <w:pPr>
        <w:pStyle w:val="7"/>
      </w:pPr>
    </w:p>
    <w:p w14:paraId="0089CB4D">
      <w:pPr>
        <w:pStyle w:val="7"/>
        <w:jc w:val="center"/>
        <w:rPr>
          <w:rFonts w:hint="eastAsia"/>
          <w:b/>
          <w:sz w:val="44"/>
          <w:szCs w:val="36"/>
        </w:rPr>
      </w:pPr>
      <w:bookmarkStart w:id="0" w:name="_Toc254970697"/>
      <w:bookmarkStart w:id="1" w:name="_Toc107424598"/>
      <w:bookmarkStart w:id="2" w:name="_Toc254970556"/>
    </w:p>
    <w:p w14:paraId="228AA7AD">
      <w:pPr>
        <w:pStyle w:val="7"/>
        <w:jc w:val="center"/>
        <w:rPr>
          <w:rFonts w:hint="eastAsia"/>
          <w:b/>
          <w:sz w:val="44"/>
          <w:szCs w:val="36"/>
        </w:rPr>
      </w:pPr>
    </w:p>
    <w:p w14:paraId="5941C549">
      <w:pPr>
        <w:pStyle w:val="7"/>
        <w:jc w:val="center"/>
        <w:rPr>
          <w:rFonts w:hint="eastAsia"/>
          <w:b/>
          <w:sz w:val="44"/>
          <w:szCs w:val="36"/>
        </w:rPr>
      </w:pPr>
    </w:p>
    <w:p w14:paraId="23C90618">
      <w:pPr>
        <w:pStyle w:val="7"/>
        <w:jc w:val="center"/>
        <w:rPr>
          <w:rFonts w:hint="eastAsia"/>
          <w:b/>
          <w:sz w:val="44"/>
          <w:szCs w:val="36"/>
        </w:rPr>
      </w:pPr>
    </w:p>
    <w:p w14:paraId="1FF8B3DA">
      <w:pPr>
        <w:pStyle w:val="7"/>
        <w:jc w:val="center"/>
        <w:rPr>
          <w:b/>
          <w:sz w:val="44"/>
          <w:szCs w:val="36"/>
        </w:rPr>
      </w:pPr>
      <w:r>
        <w:rPr>
          <w:rFonts w:hint="eastAsia"/>
          <w:b/>
          <w:sz w:val="44"/>
          <w:szCs w:val="36"/>
        </w:rPr>
        <w:t>报价文件格式</w:t>
      </w:r>
    </w:p>
    <w:p w14:paraId="5DD6BD95">
      <w:pPr>
        <w:pStyle w:val="7"/>
        <w:jc w:val="left"/>
        <w:rPr>
          <w:b/>
          <w:sz w:val="44"/>
          <w:szCs w:val="36"/>
        </w:rPr>
      </w:pPr>
      <w:r>
        <w:rPr>
          <w:rFonts w:hint="eastAsia"/>
          <w:b/>
          <w:sz w:val="44"/>
          <w:szCs w:val="36"/>
        </w:rPr>
        <w:t>一、资格证明文件格式</w:t>
      </w:r>
    </w:p>
    <w:p w14:paraId="6540026C">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53980FE0">
      <w:pPr>
        <w:spacing w:line="440" w:lineRule="exact"/>
        <w:ind w:firstLine="560" w:firstLineChars="200"/>
        <w:jc w:val="left"/>
        <w:rPr>
          <w:rFonts w:ascii="宋体" w:hAnsi="Times New Roman" w:eastAsia="仿宋" w:cs="Times New Roman"/>
          <w:sz w:val="28"/>
          <w:szCs w:val="21"/>
        </w:rPr>
      </w:pPr>
    </w:p>
    <w:p w14:paraId="2BF94C58">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2F0D9B3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396AB939">
      <w:pPr>
        <w:snapToGrid w:val="0"/>
        <w:spacing w:line="276" w:lineRule="auto"/>
        <w:ind w:firstLine="720" w:firstLineChars="200"/>
        <w:jc w:val="left"/>
        <w:rPr>
          <w:rFonts w:ascii="宋体" w:hAnsi="宋体" w:eastAsia="仿宋" w:cs="Times New Roman"/>
          <w:bCs/>
          <w:sz w:val="36"/>
          <w:szCs w:val="36"/>
        </w:rPr>
      </w:pPr>
    </w:p>
    <w:p w14:paraId="50EE7E5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345116F9">
      <w:pPr>
        <w:snapToGrid w:val="0"/>
        <w:spacing w:line="276" w:lineRule="auto"/>
        <w:ind w:firstLine="720" w:firstLineChars="200"/>
        <w:jc w:val="left"/>
        <w:rPr>
          <w:rFonts w:ascii="宋体" w:hAnsi="宋体" w:eastAsia="仿宋" w:cs="Times New Roman"/>
          <w:bCs/>
          <w:sz w:val="36"/>
          <w:szCs w:val="36"/>
        </w:rPr>
      </w:pPr>
    </w:p>
    <w:p w14:paraId="3512CA5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7F679E5">
      <w:pPr>
        <w:snapToGrid w:val="0"/>
        <w:spacing w:line="276" w:lineRule="auto"/>
        <w:ind w:firstLine="720" w:firstLineChars="200"/>
        <w:jc w:val="left"/>
        <w:rPr>
          <w:rFonts w:ascii="宋体" w:hAnsi="宋体" w:eastAsia="仿宋" w:cs="Times New Roman"/>
          <w:bCs/>
          <w:sz w:val="36"/>
          <w:szCs w:val="36"/>
        </w:rPr>
      </w:pPr>
    </w:p>
    <w:p w14:paraId="34C6031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9C42751">
      <w:pPr>
        <w:snapToGrid w:val="0"/>
        <w:spacing w:line="276" w:lineRule="auto"/>
        <w:ind w:firstLine="540" w:firstLineChars="150"/>
        <w:jc w:val="center"/>
        <w:rPr>
          <w:rFonts w:ascii="宋体" w:hAnsi="宋体" w:eastAsia="仿宋" w:cs="Times New Roman"/>
          <w:bCs/>
          <w:sz w:val="36"/>
          <w:szCs w:val="36"/>
        </w:rPr>
      </w:pPr>
    </w:p>
    <w:p w14:paraId="38C6B1FC">
      <w:pPr>
        <w:pStyle w:val="7"/>
        <w:jc w:val="center"/>
        <w:rPr>
          <w:b/>
          <w:sz w:val="44"/>
          <w:szCs w:val="36"/>
        </w:rPr>
      </w:pPr>
    </w:p>
    <w:p w14:paraId="170266B6">
      <w:pPr>
        <w:pStyle w:val="7"/>
        <w:jc w:val="center"/>
        <w:rPr>
          <w:b/>
          <w:sz w:val="44"/>
          <w:szCs w:val="36"/>
        </w:rPr>
      </w:pPr>
    </w:p>
    <w:p w14:paraId="7418ABEC">
      <w:pPr>
        <w:pStyle w:val="7"/>
        <w:jc w:val="center"/>
        <w:rPr>
          <w:b/>
          <w:sz w:val="44"/>
          <w:szCs w:val="36"/>
        </w:rPr>
      </w:pPr>
    </w:p>
    <w:p w14:paraId="515241CC">
      <w:pPr>
        <w:pStyle w:val="7"/>
        <w:jc w:val="center"/>
        <w:rPr>
          <w:b/>
          <w:sz w:val="44"/>
          <w:szCs w:val="36"/>
        </w:rPr>
      </w:pPr>
    </w:p>
    <w:p w14:paraId="5677E0C4">
      <w:pPr>
        <w:pStyle w:val="7"/>
        <w:jc w:val="center"/>
        <w:rPr>
          <w:b/>
          <w:sz w:val="44"/>
          <w:szCs w:val="36"/>
        </w:rPr>
      </w:pPr>
    </w:p>
    <w:p w14:paraId="19AC08AB">
      <w:pPr>
        <w:pStyle w:val="7"/>
        <w:jc w:val="center"/>
        <w:rPr>
          <w:b/>
          <w:sz w:val="44"/>
          <w:szCs w:val="36"/>
        </w:rPr>
      </w:pPr>
    </w:p>
    <w:p w14:paraId="42416C60">
      <w:pPr>
        <w:pStyle w:val="7"/>
        <w:jc w:val="center"/>
        <w:rPr>
          <w:b/>
          <w:sz w:val="44"/>
          <w:szCs w:val="36"/>
        </w:rPr>
      </w:pPr>
    </w:p>
    <w:p w14:paraId="30B3B924">
      <w:pPr>
        <w:pStyle w:val="7"/>
        <w:jc w:val="center"/>
        <w:rPr>
          <w:b/>
          <w:sz w:val="44"/>
          <w:szCs w:val="36"/>
        </w:rPr>
      </w:pPr>
    </w:p>
    <w:p w14:paraId="50FE661C">
      <w:pPr>
        <w:pStyle w:val="7"/>
        <w:jc w:val="center"/>
        <w:rPr>
          <w:b/>
          <w:sz w:val="44"/>
          <w:szCs w:val="36"/>
        </w:rPr>
      </w:pPr>
    </w:p>
    <w:p w14:paraId="52C04BBB">
      <w:pPr>
        <w:pStyle w:val="7"/>
        <w:jc w:val="center"/>
        <w:rPr>
          <w:b/>
          <w:sz w:val="44"/>
          <w:szCs w:val="36"/>
        </w:rPr>
      </w:pPr>
    </w:p>
    <w:p w14:paraId="6189232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541969C1">
      <w:pPr>
        <w:snapToGrid w:val="0"/>
        <w:spacing w:before="156" w:beforeLines="50" w:after="50" w:line="360" w:lineRule="exact"/>
        <w:rPr>
          <w:rFonts w:ascii="宋体" w:hAnsi="宋体" w:eastAsia="宋体" w:cs="Times New Roman"/>
          <w:b/>
          <w:sz w:val="44"/>
          <w:szCs w:val="24"/>
        </w:rPr>
      </w:pPr>
    </w:p>
    <w:p w14:paraId="209CF915">
      <w:pPr>
        <w:snapToGrid w:val="0"/>
        <w:spacing w:before="156" w:beforeLines="50" w:after="50" w:line="360" w:lineRule="exact"/>
        <w:ind w:firstLine="3278" w:firstLineChars="742"/>
        <w:rPr>
          <w:rFonts w:ascii="宋体" w:hAnsi="宋体" w:eastAsia="宋体" w:cs="Times New Roman"/>
          <w:b/>
          <w:sz w:val="44"/>
          <w:szCs w:val="24"/>
        </w:rPr>
      </w:pPr>
    </w:p>
    <w:p w14:paraId="78D6D955">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FF48BD7">
      <w:pPr>
        <w:snapToGrid w:val="0"/>
        <w:spacing w:before="156" w:beforeLines="50" w:after="50" w:line="360" w:lineRule="exact"/>
        <w:ind w:firstLine="3278" w:firstLineChars="742"/>
        <w:rPr>
          <w:rFonts w:ascii="宋体" w:hAnsi="宋体" w:eastAsia="宋体" w:cs="Times New Roman"/>
          <w:b/>
          <w:sz w:val="44"/>
          <w:szCs w:val="24"/>
        </w:rPr>
      </w:pPr>
    </w:p>
    <w:p w14:paraId="2175561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398387CC">
      <w:pPr>
        <w:snapToGrid w:val="0"/>
        <w:spacing w:before="156" w:beforeLines="50" w:after="50" w:line="360" w:lineRule="exact"/>
        <w:rPr>
          <w:rFonts w:ascii="宋体" w:hAnsi="宋体" w:eastAsia="宋体" w:cs="Times New Roman"/>
          <w:szCs w:val="24"/>
        </w:rPr>
      </w:pPr>
    </w:p>
    <w:p w14:paraId="4BEB7513">
      <w:pPr>
        <w:snapToGrid w:val="0"/>
        <w:spacing w:before="156" w:beforeLines="50" w:after="50" w:line="360" w:lineRule="exact"/>
        <w:rPr>
          <w:rFonts w:ascii="宋体" w:hAnsi="宋体" w:eastAsia="宋体" w:cs="Times New Roman"/>
          <w:szCs w:val="24"/>
        </w:rPr>
      </w:pPr>
    </w:p>
    <w:p w14:paraId="42E39282">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C4ABC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14C0E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8561A5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389D8F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EB6B9CE">
      <w:pPr>
        <w:snapToGrid w:val="0"/>
        <w:spacing w:line="1000" w:lineRule="exact"/>
        <w:ind w:firstLine="900" w:firstLineChars="300"/>
        <w:rPr>
          <w:rFonts w:ascii="宋体" w:hAnsi="宋体" w:eastAsia="宋体" w:cs="Times New Roman"/>
          <w:bCs/>
          <w:sz w:val="30"/>
          <w:szCs w:val="28"/>
          <w:u w:val="single"/>
        </w:rPr>
      </w:pPr>
    </w:p>
    <w:p w14:paraId="5F1C26F5">
      <w:pPr>
        <w:snapToGrid w:val="0"/>
        <w:spacing w:before="156" w:beforeLines="50" w:after="50" w:line="360" w:lineRule="exact"/>
        <w:ind w:firstLine="5100" w:firstLineChars="1700"/>
        <w:rPr>
          <w:rFonts w:ascii="宋体" w:hAnsi="宋体" w:eastAsia="宋体" w:cs="Times New Roman"/>
          <w:bCs/>
          <w:sz w:val="30"/>
          <w:szCs w:val="28"/>
        </w:rPr>
      </w:pPr>
    </w:p>
    <w:p w14:paraId="55641778">
      <w:pPr>
        <w:snapToGrid w:val="0"/>
        <w:spacing w:before="156" w:beforeLines="50" w:after="50" w:line="360" w:lineRule="exact"/>
        <w:ind w:firstLine="645"/>
        <w:jc w:val="center"/>
        <w:rPr>
          <w:rFonts w:ascii="宋体" w:hAnsi="宋体" w:eastAsia="宋体" w:cs="Times New Roman"/>
          <w:bCs/>
          <w:sz w:val="30"/>
          <w:szCs w:val="28"/>
        </w:rPr>
      </w:pPr>
    </w:p>
    <w:p w14:paraId="3281F0B0">
      <w:pPr>
        <w:snapToGrid w:val="0"/>
        <w:spacing w:before="156" w:beforeLines="50" w:after="50" w:line="360" w:lineRule="exact"/>
        <w:ind w:firstLine="645"/>
        <w:jc w:val="center"/>
        <w:rPr>
          <w:rFonts w:ascii="宋体" w:hAnsi="宋体" w:eastAsia="宋体" w:cs="Times New Roman"/>
          <w:bCs/>
          <w:sz w:val="30"/>
          <w:szCs w:val="28"/>
        </w:rPr>
      </w:pPr>
    </w:p>
    <w:p w14:paraId="1055845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30FB4F3">
      <w:pPr>
        <w:pStyle w:val="7"/>
        <w:rPr>
          <w:sz w:val="24"/>
          <w:szCs w:val="24"/>
        </w:rPr>
      </w:pPr>
    </w:p>
    <w:p w14:paraId="3B5DC0C6">
      <w:pPr>
        <w:pStyle w:val="7"/>
        <w:rPr>
          <w:sz w:val="24"/>
          <w:szCs w:val="24"/>
        </w:rPr>
      </w:pPr>
    </w:p>
    <w:p w14:paraId="2E53F21C">
      <w:pPr>
        <w:pStyle w:val="7"/>
        <w:rPr>
          <w:sz w:val="24"/>
          <w:szCs w:val="24"/>
        </w:rPr>
      </w:pPr>
    </w:p>
    <w:p w14:paraId="6375F34D">
      <w:pPr>
        <w:pStyle w:val="7"/>
        <w:rPr>
          <w:sz w:val="24"/>
          <w:szCs w:val="24"/>
        </w:rPr>
      </w:pPr>
    </w:p>
    <w:p w14:paraId="1A62BC68">
      <w:pPr>
        <w:pStyle w:val="7"/>
        <w:rPr>
          <w:sz w:val="24"/>
          <w:szCs w:val="24"/>
        </w:rPr>
      </w:pPr>
    </w:p>
    <w:p w14:paraId="62392E93">
      <w:pPr>
        <w:pStyle w:val="7"/>
        <w:rPr>
          <w:sz w:val="24"/>
          <w:szCs w:val="24"/>
        </w:rPr>
      </w:pPr>
    </w:p>
    <w:p w14:paraId="15019C33">
      <w:pPr>
        <w:pStyle w:val="7"/>
        <w:rPr>
          <w:sz w:val="24"/>
          <w:szCs w:val="24"/>
        </w:rPr>
      </w:pPr>
    </w:p>
    <w:p w14:paraId="676C82DF">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38ED4C7">
      <w:pPr>
        <w:jc w:val="left"/>
        <w:outlineLvl w:val="1"/>
        <w:rPr>
          <w:rFonts w:ascii="仿宋" w:hAnsi="仿宋" w:eastAsia="仿宋" w:cs="Times New Roman"/>
          <w:b/>
          <w:sz w:val="36"/>
          <w:szCs w:val="21"/>
        </w:rPr>
      </w:pPr>
    </w:p>
    <w:p w14:paraId="59A79BB6">
      <w:pPr>
        <w:jc w:val="left"/>
        <w:outlineLvl w:val="1"/>
        <w:rPr>
          <w:rFonts w:ascii="仿宋" w:hAnsi="仿宋" w:eastAsia="仿宋" w:cs="Times New Roman"/>
          <w:b/>
          <w:sz w:val="36"/>
          <w:szCs w:val="21"/>
        </w:rPr>
      </w:pPr>
    </w:p>
    <w:p w14:paraId="79CBB8D8">
      <w:pPr>
        <w:pStyle w:val="7"/>
      </w:pPr>
    </w:p>
    <w:p w14:paraId="4C13B667">
      <w:pPr>
        <w:pStyle w:val="7"/>
      </w:pPr>
    </w:p>
    <w:p w14:paraId="2D6A72A5">
      <w:pPr>
        <w:pStyle w:val="7"/>
      </w:pPr>
    </w:p>
    <w:p w14:paraId="2D286CE9">
      <w:pPr>
        <w:pStyle w:val="7"/>
      </w:pPr>
    </w:p>
    <w:p w14:paraId="7C736C1B">
      <w:pPr>
        <w:pStyle w:val="7"/>
      </w:pPr>
    </w:p>
    <w:p w14:paraId="25277A6C">
      <w:pPr>
        <w:pStyle w:val="7"/>
      </w:pPr>
    </w:p>
    <w:p w14:paraId="68A37D4B">
      <w:pPr>
        <w:pStyle w:val="7"/>
      </w:pPr>
    </w:p>
    <w:p w14:paraId="1F9BA3D3">
      <w:pPr>
        <w:pStyle w:val="7"/>
      </w:pPr>
    </w:p>
    <w:p w14:paraId="7580692C">
      <w:pPr>
        <w:pStyle w:val="7"/>
      </w:pPr>
    </w:p>
    <w:p w14:paraId="2FEB2746">
      <w:pPr>
        <w:pStyle w:val="7"/>
      </w:pPr>
    </w:p>
    <w:p w14:paraId="65B3768D">
      <w:pPr>
        <w:pStyle w:val="7"/>
      </w:pPr>
    </w:p>
    <w:p w14:paraId="0FA7658A">
      <w:pPr>
        <w:pStyle w:val="7"/>
      </w:pPr>
    </w:p>
    <w:p w14:paraId="5CA74978">
      <w:pPr>
        <w:pStyle w:val="7"/>
      </w:pPr>
    </w:p>
    <w:p w14:paraId="04BCA596">
      <w:pPr>
        <w:pStyle w:val="7"/>
      </w:pPr>
    </w:p>
    <w:p w14:paraId="14B27521">
      <w:pPr>
        <w:pStyle w:val="7"/>
      </w:pPr>
    </w:p>
    <w:p w14:paraId="08A67ABB">
      <w:pPr>
        <w:pStyle w:val="7"/>
      </w:pPr>
    </w:p>
    <w:p w14:paraId="286C5CA5">
      <w:pPr>
        <w:pStyle w:val="7"/>
      </w:pPr>
    </w:p>
    <w:p w14:paraId="25F2A17B">
      <w:pPr>
        <w:pStyle w:val="7"/>
      </w:pPr>
    </w:p>
    <w:p w14:paraId="51055121">
      <w:pPr>
        <w:pStyle w:val="7"/>
      </w:pPr>
    </w:p>
    <w:p w14:paraId="4FA3D4D1">
      <w:pPr>
        <w:pStyle w:val="7"/>
      </w:pPr>
    </w:p>
    <w:p w14:paraId="7366E782">
      <w:pPr>
        <w:pStyle w:val="7"/>
      </w:pPr>
    </w:p>
    <w:p w14:paraId="7558CDE0">
      <w:pPr>
        <w:pStyle w:val="7"/>
      </w:pPr>
    </w:p>
    <w:p w14:paraId="396B78A4">
      <w:pPr>
        <w:pStyle w:val="7"/>
      </w:pPr>
    </w:p>
    <w:p w14:paraId="19230AA2">
      <w:pPr>
        <w:pStyle w:val="7"/>
      </w:pPr>
    </w:p>
    <w:p w14:paraId="74FBB94B">
      <w:pPr>
        <w:pStyle w:val="7"/>
      </w:pPr>
    </w:p>
    <w:p w14:paraId="13EB34E4">
      <w:pPr>
        <w:pStyle w:val="7"/>
      </w:pPr>
    </w:p>
    <w:p w14:paraId="1B0B639C">
      <w:pPr>
        <w:pStyle w:val="7"/>
      </w:pPr>
    </w:p>
    <w:p w14:paraId="0B7F3D21">
      <w:pPr>
        <w:pStyle w:val="7"/>
      </w:pPr>
    </w:p>
    <w:p w14:paraId="4DD089E6">
      <w:pPr>
        <w:pStyle w:val="7"/>
      </w:pPr>
    </w:p>
    <w:p w14:paraId="71AE308E">
      <w:pPr>
        <w:pStyle w:val="7"/>
      </w:pPr>
    </w:p>
    <w:p w14:paraId="4AD35CED">
      <w:pPr>
        <w:pStyle w:val="7"/>
        <w:rPr>
          <w:rFonts w:ascii="仿宋" w:hAnsi="仿宋" w:eastAsia="仿宋"/>
          <w:b/>
          <w:sz w:val="36"/>
          <w:szCs w:val="36"/>
        </w:rPr>
      </w:pPr>
      <w:r>
        <w:rPr>
          <w:rFonts w:hint="eastAsia" w:ascii="仿宋" w:hAnsi="仿宋" w:eastAsia="仿宋"/>
          <w:b/>
          <w:sz w:val="36"/>
          <w:szCs w:val="36"/>
        </w:rPr>
        <w:t>4.法定代表人身份证明</w:t>
      </w:r>
    </w:p>
    <w:p w14:paraId="5CBD2C4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9AAEA7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A7AE1C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3C66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E7BBE32">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74E334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4348F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40A6B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8C76D10">
      <w:pPr>
        <w:spacing w:line="360" w:lineRule="auto"/>
        <w:ind w:left="540"/>
        <w:jc w:val="left"/>
        <w:rPr>
          <w:rFonts w:ascii="仿宋" w:hAnsi="仿宋" w:eastAsia="仿宋" w:cs="Times New Roman"/>
          <w:sz w:val="30"/>
          <w:szCs w:val="30"/>
        </w:rPr>
      </w:pPr>
    </w:p>
    <w:p w14:paraId="768EB6D3">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B5D3DEB">
      <w:pPr>
        <w:spacing w:line="360" w:lineRule="auto"/>
        <w:ind w:left="540"/>
        <w:jc w:val="left"/>
        <w:rPr>
          <w:rFonts w:ascii="仿宋" w:hAnsi="仿宋" w:eastAsia="仿宋" w:cs="Times New Roman"/>
          <w:sz w:val="30"/>
          <w:szCs w:val="30"/>
        </w:rPr>
      </w:pPr>
    </w:p>
    <w:p w14:paraId="1CF374E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67F54F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401F6C6">
      <w:pPr>
        <w:pStyle w:val="7"/>
      </w:pPr>
    </w:p>
    <w:p w14:paraId="352F140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9E60952">
      <w:pPr>
        <w:snapToGrid w:val="0"/>
        <w:spacing w:before="156" w:beforeLines="50" w:after="50" w:line="360" w:lineRule="auto"/>
        <w:jc w:val="center"/>
        <w:rPr>
          <w:rFonts w:ascii="仿宋" w:hAnsi="仿宋" w:eastAsia="仿宋" w:cs="Times New Roman"/>
          <w:b/>
          <w:sz w:val="30"/>
          <w:szCs w:val="30"/>
        </w:rPr>
      </w:pPr>
    </w:p>
    <w:p w14:paraId="7398913F">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95CF69A">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375EE84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3BE13DBF">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1D5B2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0F64FB8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B4BBC2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DFBFF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121C6B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3FE76F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43E6B20">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592244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2E7F36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E98B1C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F80DB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0AE22F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FA13C2">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8E37B52">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F4E4DDC">
      <w:pPr>
        <w:pStyle w:val="7"/>
      </w:pPr>
    </w:p>
    <w:p w14:paraId="58816B52">
      <w:pPr>
        <w:jc w:val="left"/>
        <w:outlineLvl w:val="1"/>
        <w:rPr>
          <w:rFonts w:ascii="仿宋" w:hAnsi="仿宋" w:eastAsia="仿宋" w:cs="Times New Roman"/>
          <w:b/>
          <w:sz w:val="36"/>
          <w:szCs w:val="21"/>
        </w:rPr>
      </w:pPr>
    </w:p>
    <w:p w14:paraId="63746189">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3B5319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2041B">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4D7982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2B023ED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DB4D7D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51FE55A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11F6A1D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32C1E9F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1249136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4C1AC6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83335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348E496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F2599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72B949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6947F5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1F788B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1E5AE32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7027B0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CC9E69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45FB5C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478058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5CF003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315EF6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142DFFE">
      <w:pPr>
        <w:jc w:val="left"/>
        <w:outlineLvl w:val="1"/>
        <w:rPr>
          <w:rFonts w:ascii="仿宋" w:hAnsi="仿宋" w:eastAsia="仿宋" w:cs="Times New Roman"/>
          <w:b/>
          <w:sz w:val="36"/>
          <w:szCs w:val="21"/>
        </w:rPr>
      </w:pPr>
    </w:p>
    <w:p w14:paraId="15C81C4B">
      <w:pPr>
        <w:jc w:val="left"/>
        <w:outlineLvl w:val="1"/>
        <w:rPr>
          <w:rFonts w:hint="eastAsia" w:ascii="仿宋" w:hAnsi="仿宋" w:eastAsia="仿宋" w:cs="Times New Roman"/>
          <w:b/>
          <w:sz w:val="36"/>
          <w:szCs w:val="21"/>
        </w:rPr>
      </w:pPr>
    </w:p>
    <w:p w14:paraId="5B7445D1">
      <w:pPr>
        <w:jc w:val="left"/>
        <w:outlineLvl w:val="1"/>
        <w:rPr>
          <w:rFonts w:hint="eastAsia" w:ascii="仿宋" w:hAnsi="仿宋" w:eastAsia="仿宋" w:cs="Times New Roman"/>
          <w:b/>
          <w:sz w:val="36"/>
          <w:szCs w:val="21"/>
        </w:rPr>
      </w:pPr>
    </w:p>
    <w:p w14:paraId="0454F339">
      <w:pPr>
        <w:jc w:val="left"/>
        <w:outlineLvl w:val="1"/>
        <w:rPr>
          <w:rFonts w:hint="eastAsia" w:ascii="仿宋" w:hAnsi="仿宋" w:eastAsia="仿宋" w:cs="Times New Roman"/>
          <w:b/>
          <w:sz w:val="36"/>
          <w:szCs w:val="21"/>
        </w:rPr>
      </w:pPr>
    </w:p>
    <w:p w14:paraId="346EB39E">
      <w:pPr>
        <w:jc w:val="left"/>
        <w:outlineLvl w:val="1"/>
        <w:rPr>
          <w:rFonts w:hint="eastAsia" w:ascii="仿宋" w:hAnsi="仿宋" w:eastAsia="仿宋" w:cs="Times New Roman"/>
          <w:b/>
          <w:sz w:val="36"/>
          <w:szCs w:val="21"/>
        </w:rPr>
      </w:pPr>
    </w:p>
    <w:p w14:paraId="2AB6A0FA">
      <w:pPr>
        <w:jc w:val="left"/>
        <w:outlineLvl w:val="1"/>
        <w:rPr>
          <w:rFonts w:hint="eastAsia" w:ascii="仿宋" w:hAnsi="仿宋" w:eastAsia="仿宋" w:cs="Times New Roman"/>
          <w:b/>
          <w:sz w:val="36"/>
          <w:szCs w:val="21"/>
        </w:rPr>
      </w:pPr>
    </w:p>
    <w:p w14:paraId="0B7CEAFA">
      <w:pPr>
        <w:jc w:val="left"/>
        <w:outlineLvl w:val="1"/>
        <w:rPr>
          <w:rFonts w:hint="eastAsia" w:ascii="仿宋" w:hAnsi="仿宋" w:eastAsia="仿宋" w:cs="Times New Roman"/>
          <w:b/>
          <w:sz w:val="36"/>
          <w:szCs w:val="21"/>
        </w:rPr>
      </w:pPr>
    </w:p>
    <w:p w14:paraId="50AF0DB0">
      <w:pPr>
        <w:jc w:val="left"/>
        <w:outlineLvl w:val="1"/>
        <w:rPr>
          <w:rFonts w:hint="eastAsia" w:ascii="仿宋" w:hAnsi="仿宋" w:eastAsia="仿宋" w:cs="Times New Roman"/>
          <w:b/>
          <w:sz w:val="36"/>
          <w:szCs w:val="21"/>
        </w:rPr>
      </w:pPr>
    </w:p>
    <w:p w14:paraId="6DAE7D83">
      <w:pPr>
        <w:jc w:val="left"/>
        <w:outlineLvl w:val="1"/>
        <w:rPr>
          <w:rFonts w:hint="eastAsia" w:ascii="仿宋" w:hAnsi="仿宋" w:eastAsia="仿宋" w:cs="Times New Roman"/>
          <w:b/>
          <w:sz w:val="36"/>
          <w:szCs w:val="21"/>
        </w:rPr>
      </w:pPr>
    </w:p>
    <w:p w14:paraId="503ABBE8">
      <w:pPr>
        <w:jc w:val="left"/>
        <w:outlineLvl w:val="1"/>
        <w:rPr>
          <w:rFonts w:hint="eastAsia" w:ascii="仿宋" w:hAnsi="仿宋" w:eastAsia="仿宋" w:cs="Times New Roman"/>
          <w:b/>
          <w:sz w:val="36"/>
          <w:szCs w:val="21"/>
        </w:rPr>
      </w:pPr>
    </w:p>
    <w:p w14:paraId="2A964889">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509EF56D">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3D96C6A2">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1284411B">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18729B05">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21486713">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4BFDE657">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29B2ADDE">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37B162E3">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24256D64">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15578F3B">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4EC60F38">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77F2BEE8">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3A684BBA">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40BC1F7A">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3398629C">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2DD1948D">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30CE2B90">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793988DB">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83F8761">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4679BA5">
      <w:pPr>
        <w:spacing w:after="120"/>
        <w:jc w:val="left"/>
        <w:rPr>
          <w:rFonts w:hint="eastAsia"/>
          <w:b/>
          <w:sz w:val="44"/>
          <w:szCs w:val="36"/>
        </w:rPr>
      </w:pPr>
    </w:p>
    <w:p w14:paraId="4BEFC512">
      <w:pPr>
        <w:spacing w:after="120"/>
        <w:jc w:val="left"/>
        <w:rPr>
          <w:rFonts w:hint="eastAsia"/>
          <w:b/>
          <w:sz w:val="44"/>
          <w:szCs w:val="36"/>
        </w:rPr>
      </w:pPr>
    </w:p>
    <w:p w14:paraId="69AA96F2">
      <w:pPr>
        <w:spacing w:after="120"/>
        <w:jc w:val="left"/>
        <w:rPr>
          <w:rFonts w:hint="eastAsia"/>
          <w:b/>
          <w:sz w:val="44"/>
          <w:szCs w:val="36"/>
        </w:rPr>
      </w:pPr>
    </w:p>
    <w:p w14:paraId="4263D68E">
      <w:pPr>
        <w:spacing w:after="120"/>
        <w:jc w:val="left"/>
        <w:rPr>
          <w:rFonts w:hint="eastAsia"/>
          <w:b/>
          <w:sz w:val="44"/>
          <w:szCs w:val="36"/>
        </w:rPr>
      </w:pPr>
    </w:p>
    <w:p w14:paraId="6546CE2D">
      <w:pPr>
        <w:spacing w:after="120"/>
        <w:jc w:val="left"/>
        <w:rPr>
          <w:rFonts w:hint="eastAsia"/>
          <w:b/>
          <w:sz w:val="44"/>
          <w:szCs w:val="36"/>
        </w:rPr>
      </w:pPr>
    </w:p>
    <w:p w14:paraId="198B108B">
      <w:pPr>
        <w:spacing w:after="120"/>
        <w:jc w:val="left"/>
        <w:rPr>
          <w:rFonts w:hint="eastAsia"/>
          <w:b/>
          <w:sz w:val="44"/>
          <w:szCs w:val="36"/>
        </w:rPr>
      </w:pPr>
    </w:p>
    <w:p w14:paraId="461DD22F">
      <w:pPr>
        <w:spacing w:after="120"/>
        <w:jc w:val="left"/>
        <w:rPr>
          <w:rFonts w:hint="eastAsia"/>
          <w:b/>
          <w:sz w:val="44"/>
          <w:szCs w:val="36"/>
        </w:rPr>
      </w:pPr>
    </w:p>
    <w:p w14:paraId="6A0BC988">
      <w:pPr>
        <w:spacing w:after="120"/>
        <w:jc w:val="left"/>
        <w:rPr>
          <w:rFonts w:hint="eastAsia"/>
          <w:b/>
          <w:sz w:val="44"/>
          <w:szCs w:val="36"/>
        </w:rPr>
      </w:pPr>
    </w:p>
    <w:p w14:paraId="3304AC74">
      <w:pPr>
        <w:spacing w:after="120"/>
        <w:jc w:val="left"/>
        <w:rPr>
          <w:rFonts w:hint="eastAsia"/>
          <w:b/>
          <w:sz w:val="44"/>
          <w:szCs w:val="36"/>
        </w:rPr>
      </w:pPr>
    </w:p>
    <w:p w14:paraId="3D8081C4">
      <w:pPr>
        <w:spacing w:after="120"/>
        <w:jc w:val="left"/>
        <w:rPr>
          <w:rFonts w:hint="eastAsia"/>
          <w:b/>
          <w:sz w:val="44"/>
          <w:szCs w:val="36"/>
        </w:rPr>
      </w:pPr>
    </w:p>
    <w:p w14:paraId="33CEF64A">
      <w:pPr>
        <w:spacing w:after="120"/>
        <w:jc w:val="left"/>
        <w:rPr>
          <w:rFonts w:hint="eastAsia"/>
          <w:b/>
          <w:sz w:val="44"/>
          <w:szCs w:val="36"/>
        </w:rPr>
      </w:pPr>
    </w:p>
    <w:p w14:paraId="0E1F994C">
      <w:pPr>
        <w:spacing w:after="120"/>
        <w:jc w:val="left"/>
        <w:rPr>
          <w:rFonts w:hint="eastAsia"/>
          <w:b/>
          <w:sz w:val="44"/>
          <w:szCs w:val="36"/>
        </w:rPr>
      </w:pPr>
    </w:p>
    <w:p w14:paraId="43499A8F">
      <w:pPr>
        <w:spacing w:after="120"/>
        <w:jc w:val="left"/>
        <w:rPr>
          <w:rFonts w:hint="eastAsia"/>
          <w:b/>
          <w:sz w:val="44"/>
          <w:szCs w:val="36"/>
        </w:rPr>
      </w:pPr>
    </w:p>
    <w:p w14:paraId="36DE9552">
      <w:pPr>
        <w:spacing w:after="120"/>
        <w:jc w:val="left"/>
        <w:rPr>
          <w:rFonts w:hint="eastAsia"/>
          <w:b/>
          <w:sz w:val="44"/>
          <w:szCs w:val="36"/>
        </w:rPr>
      </w:pPr>
    </w:p>
    <w:p w14:paraId="156AC2D9">
      <w:pPr>
        <w:spacing w:after="120"/>
        <w:jc w:val="left"/>
        <w:rPr>
          <w:rFonts w:hint="eastAsia"/>
          <w:b/>
          <w:sz w:val="44"/>
          <w:szCs w:val="36"/>
        </w:rPr>
      </w:pPr>
    </w:p>
    <w:p w14:paraId="3E35BF3B">
      <w:pPr>
        <w:spacing w:after="120"/>
        <w:jc w:val="left"/>
        <w:rPr>
          <w:rFonts w:hint="eastAsia"/>
          <w:b/>
          <w:sz w:val="44"/>
          <w:szCs w:val="36"/>
        </w:rPr>
      </w:pPr>
    </w:p>
    <w:p w14:paraId="2EA66C6E">
      <w:pPr>
        <w:spacing w:after="120"/>
        <w:jc w:val="left"/>
        <w:rPr>
          <w:rFonts w:hint="eastAsia"/>
          <w:b/>
          <w:sz w:val="44"/>
          <w:szCs w:val="36"/>
        </w:rPr>
      </w:pPr>
    </w:p>
    <w:p w14:paraId="62E9BF96">
      <w:pPr>
        <w:spacing w:after="120"/>
        <w:jc w:val="left"/>
        <w:rPr>
          <w:rFonts w:hint="eastAsia"/>
          <w:b/>
          <w:sz w:val="44"/>
          <w:szCs w:val="36"/>
        </w:rPr>
      </w:pPr>
    </w:p>
    <w:p w14:paraId="789EADC5">
      <w:pPr>
        <w:spacing w:after="120"/>
        <w:jc w:val="left"/>
        <w:rPr>
          <w:rFonts w:hint="eastAsia"/>
          <w:b/>
          <w:sz w:val="44"/>
          <w:szCs w:val="36"/>
        </w:rPr>
      </w:pPr>
    </w:p>
    <w:p w14:paraId="12EF6B31">
      <w:pPr>
        <w:spacing w:after="120"/>
        <w:jc w:val="left"/>
        <w:rPr>
          <w:b/>
          <w:sz w:val="44"/>
          <w:szCs w:val="36"/>
        </w:rPr>
      </w:pPr>
      <w:r>
        <w:rPr>
          <w:rFonts w:hint="eastAsia"/>
          <w:b/>
          <w:sz w:val="44"/>
          <w:szCs w:val="36"/>
        </w:rPr>
        <w:t>二、商务技术文件格式</w:t>
      </w:r>
    </w:p>
    <w:p w14:paraId="7D4378E3">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58F0A892">
      <w:pPr>
        <w:spacing w:line="360" w:lineRule="exact"/>
        <w:jc w:val="left"/>
        <w:rPr>
          <w:rFonts w:ascii="仿宋" w:hAnsi="仿宋" w:eastAsia="仿宋"/>
          <w:b/>
          <w:sz w:val="44"/>
          <w:szCs w:val="44"/>
        </w:rPr>
      </w:pPr>
    </w:p>
    <w:p w14:paraId="2AB4398B">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715BCA3">
      <w:pPr>
        <w:spacing w:line="360" w:lineRule="exact"/>
        <w:jc w:val="left"/>
        <w:rPr>
          <w:rFonts w:ascii="仿宋" w:hAnsi="仿宋" w:eastAsia="仿宋"/>
          <w:sz w:val="30"/>
          <w:szCs w:val="30"/>
        </w:rPr>
      </w:pPr>
    </w:p>
    <w:p w14:paraId="2E5558BD">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BAFD728">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7B5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72A4BC9">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282F3FC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12AB7F6">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37122AA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4729461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2B9C57D">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6A3FD4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B3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E0F16B6">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5EFDCA20">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245DE9D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C6B038">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58A68B6">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5AB6C72">
            <w:pPr>
              <w:widowControl/>
              <w:jc w:val="center"/>
              <w:textAlignment w:val="center"/>
              <w:rPr>
                <w:rFonts w:ascii="仿宋" w:hAnsi="仿宋" w:eastAsia="仿宋" w:cs="Arial"/>
                <w:bCs/>
                <w:sz w:val="30"/>
                <w:szCs w:val="30"/>
              </w:rPr>
            </w:pPr>
          </w:p>
        </w:tc>
      </w:tr>
      <w:tr w14:paraId="116B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4A4F52C">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08388E94">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A8EE4A0">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5EDF313">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335292C2">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7D836F92">
            <w:pPr>
              <w:widowControl/>
              <w:jc w:val="center"/>
              <w:textAlignment w:val="center"/>
              <w:rPr>
                <w:rFonts w:ascii="仿宋" w:hAnsi="仿宋" w:eastAsia="仿宋" w:cs="Arial"/>
                <w:bCs/>
                <w:sz w:val="30"/>
                <w:szCs w:val="30"/>
              </w:rPr>
            </w:pPr>
          </w:p>
        </w:tc>
      </w:tr>
      <w:tr w14:paraId="2C9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5F52B8B7">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57A7CE7F">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A8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1F5E6E25">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6BE135EF">
            <w:pPr>
              <w:jc w:val="left"/>
              <w:rPr>
                <w:rFonts w:ascii="仿宋" w:hAnsi="仿宋" w:eastAsia="仿宋" w:cs="Arial"/>
                <w:b/>
                <w:bCs/>
                <w:sz w:val="30"/>
                <w:szCs w:val="30"/>
              </w:rPr>
            </w:pPr>
            <w:r>
              <w:rPr>
                <w:rFonts w:hint="eastAsia" w:ascii="仿宋" w:hAnsi="仿宋" w:eastAsia="仿宋" w:cs="Arial"/>
                <w:bCs/>
                <w:sz w:val="30"/>
                <w:szCs w:val="30"/>
              </w:rPr>
              <w:t xml:space="preserve">服务期限：自整体服务内容验收合格并交付使用之日起 </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p w14:paraId="56C7A0C8">
            <w:pPr>
              <w:pStyle w:val="7"/>
            </w:pPr>
            <w:r>
              <w:rPr>
                <w:rFonts w:hint="eastAsia" w:ascii="仿宋" w:hAnsi="仿宋" w:eastAsia="仿宋" w:cs="Arial"/>
                <w:bCs/>
                <w:sz w:val="30"/>
                <w:szCs w:val="30"/>
              </w:rPr>
              <w:t>服务质保期：自整体服务内容验收合格并交付使用之日起</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tc>
      </w:tr>
    </w:tbl>
    <w:p w14:paraId="39236DAF">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7D3BDFAA">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7D9C92A">
      <w:pPr>
        <w:ind w:left="5250" w:leftChars="2500"/>
      </w:pPr>
    </w:p>
    <w:p w14:paraId="00658E66">
      <w:pPr>
        <w:spacing w:after="120"/>
        <w:jc w:val="left"/>
        <w:rPr>
          <w:rFonts w:ascii="宋体" w:hAnsi="宋体" w:cs="宋体"/>
          <w:b/>
          <w:sz w:val="28"/>
        </w:rPr>
      </w:pPr>
    </w:p>
    <w:p w14:paraId="252E2B52">
      <w:pPr>
        <w:spacing w:after="120"/>
        <w:jc w:val="left"/>
        <w:rPr>
          <w:rFonts w:ascii="宋体" w:hAnsi="宋体" w:cs="宋体"/>
          <w:b/>
          <w:sz w:val="28"/>
        </w:rPr>
      </w:pPr>
    </w:p>
    <w:p w14:paraId="10A83F2D">
      <w:pPr>
        <w:spacing w:after="120"/>
        <w:jc w:val="left"/>
        <w:rPr>
          <w:rFonts w:ascii="宋体" w:hAnsi="宋体" w:cs="宋体"/>
          <w:b/>
          <w:sz w:val="28"/>
        </w:rPr>
      </w:pPr>
    </w:p>
    <w:p w14:paraId="27D93491">
      <w:pPr>
        <w:spacing w:after="120"/>
        <w:jc w:val="left"/>
        <w:rPr>
          <w:rFonts w:ascii="宋体" w:hAnsi="宋体" w:cs="宋体"/>
          <w:b/>
          <w:sz w:val="28"/>
        </w:rPr>
      </w:pPr>
    </w:p>
    <w:p w14:paraId="5C0FA157">
      <w:pPr>
        <w:spacing w:after="120"/>
        <w:jc w:val="left"/>
        <w:rPr>
          <w:rFonts w:ascii="宋体" w:hAnsi="宋体" w:cs="宋体"/>
          <w:b/>
          <w:sz w:val="28"/>
        </w:rPr>
      </w:pPr>
    </w:p>
    <w:p w14:paraId="5939ED90">
      <w:pPr>
        <w:spacing w:after="120"/>
        <w:jc w:val="left"/>
        <w:rPr>
          <w:rFonts w:ascii="宋体" w:hAnsi="宋体" w:cs="宋体"/>
          <w:b/>
          <w:sz w:val="28"/>
        </w:rPr>
      </w:pPr>
    </w:p>
    <w:p w14:paraId="1B82AE2C">
      <w:pPr>
        <w:spacing w:after="120"/>
        <w:jc w:val="left"/>
        <w:rPr>
          <w:rFonts w:ascii="宋体" w:hAnsi="宋体" w:cs="宋体"/>
          <w:b/>
          <w:sz w:val="28"/>
        </w:rPr>
      </w:pPr>
    </w:p>
    <w:p w14:paraId="468BC893">
      <w:pPr>
        <w:pStyle w:val="7"/>
      </w:pPr>
    </w:p>
    <w:p w14:paraId="2AD556FE">
      <w:pPr>
        <w:pStyle w:val="7"/>
      </w:pPr>
    </w:p>
    <w:p w14:paraId="0CA2AA1B">
      <w:pPr>
        <w:spacing w:after="120"/>
        <w:jc w:val="left"/>
        <w:rPr>
          <w:rFonts w:ascii="宋体" w:hAnsi="宋体" w:cs="宋体"/>
        </w:rPr>
      </w:pPr>
      <w:r>
        <w:rPr>
          <w:rFonts w:hint="eastAsia" w:ascii="宋体" w:hAnsi="宋体" w:cs="宋体"/>
          <w:b/>
          <w:sz w:val="28"/>
        </w:rPr>
        <w:t>2.商务、技术响应、偏离情况说明表</w:t>
      </w:r>
    </w:p>
    <w:p w14:paraId="294E4E7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DBF871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1967170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A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5669E56">
            <w:pPr>
              <w:adjustRightInd w:val="0"/>
              <w:snapToGrid w:val="0"/>
              <w:spacing w:line="300" w:lineRule="auto"/>
              <w:outlineLvl w:val="0"/>
              <w:rPr>
                <w:rFonts w:ascii="宋体" w:hAnsi="宋体"/>
                <w:sz w:val="24"/>
                <w:szCs w:val="24"/>
              </w:rPr>
            </w:pPr>
            <w:bookmarkStart w:id="5" w:name="_Toc254970729"/>
            <w:bookmarkStart w:id="6" w:name="_Toc405905876"/>
            <w:bookmarkStart w:id="7" w:name="_Toc173211900"/>
            <w:bookmarkStart w:id="8" w:name="_Toc171349578"/>
            <w:bookmarkStart w:id="9" w:name="_Toc173066401"/>
            <w:bookmarkStart w:id="10" w:name="_Toc25497058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3007F78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C24A31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A959388">
            <w:pPr>
              <w:adjustRightInd w:val="0"/>
              <w:snapToGrid w:val="0"/>
              <w:spacing w:line="300" w:lineRule="auto"/>
              <w:jc w:val="center"/>
              <w:outlineLvl w:val="0"/>
              <w:rPr>
                <w:rFonts w:ascii="宋体" w:hAnsi="宋体"/>
                <w:sz w:val="24"/>
                <w:szCs w:val="24"/>
              </w:rPr>
            </w:pPr>
            <w:bookmarkStart w:id="11" w:name="_Toc254970591"/>
            <w:bookmarkStart w:id="12" w:name="_Toc171349581"/>
            <w:bookmarkStart w:id="13" w:name="_Toc173211903"/>
            <w:bookmarkStart w:id="14" w:name="_Toc405905879"/>
            <w:bookmarkStart w:id="15" w:name="_Toc173066404"/>
            <w:bookmarkStart w:id="16" w:name="_Toc254970732"/>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B32A766">
            <w:pPr>
              <w:adjustRightInd w:val="0"/>
              <w:snapToGrid w:val="0"/>
              <w:spacing w:line="300" w:lineRule="auto"/>
              <w:jc w:val="center"/>
              <w:outlineLvl w:val="0"/>
              <w:rPr>
                <w:rFonts w:ascii="宋体" w:hAnsi="宋体"/>
                <w:sz w:val="24"/>
                <w:szCs w:val="24"/>
              </w:rPr>
            </w:pPr>
            <w:bookmarkStart w:id="17" w:name="_Toc254970733"/>
            <w:bookmarkStart w:id="18" w:name="_Toc254970592"/>
            <w:bookmarkStart w:id="19" w:name="_Toc173066405"/>
            <w:bookmarkStart w:id="20" w:name="_Toc173211904"/>
            <w:bookmarkStart w:id="21" w:name="_Toc171349582"/>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894D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E63FD7">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535B8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975195">
            <w:pPr>
              <w:adjustRightInd w:val="0"/>
              <w:snapToGrid w:val="0"/>
              <w:spacing w:line="240" w:lineRule="exact"/>
              <w:jc w:val="center"/>
              <w:outlineLvl w:val="0"/>
              <w:rPr>
                <w:rFonts w:ascii="宋体" w:hAnsi="宋体"/>
                <w:sz w:val="24"/>
                <w:szCs w:val="24"/>
              </w:rPr>
            </w:pPr>
            <w:bookmarkStart w:id="25" w:name="_Toc173066406"/>
            <w:bookmarkStart w:id="26" w:name="_Toc405905882"/>
            <w:bookmarkStart w:id="27" w:name="_Toc173211905"/>
            <w:bookmarkStart w:id="28" w:name="_Toc171349584"/>
            <w:bookmarkStart w:id="29" w:name="_Toc254970734"/>
            <w:bookmarkStart w:id="30" w:name="_Toc254970593"/>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390DC90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863D5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57EF7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5E9F07D">
            <w:pPr>
              <w:adjustRightInd w:val="0"/>
              <w:snapToGrid w:val="0"/>
              <w:spacing w:line="240" w:lineRule="exact"/>
              <w:jc w:val="center"/>
              <w:outlineLvl w:val="0"/>
              <w:rPr>
                <w:rFonts w:ascii="宋体" w:hAnsi="宋体"/>
                <w:sz w:val="24"/>
                <w:szCs w:val="24"/>
              </w:rPr>
            </w:pPr>
          </w:p>
        </w:tc>
      </w:tr>
      <w:tr w14:paraId="726D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4D71B1">
            <w:pPr>
              <w:adjustRightInd w:val="0"/>
              <w:snapToGrid w:val="0"/>
              <w:spacing w:line="240" w:lineRule="exact"/>
              <w:jc w:val="center"/>
              <w:outlineLvl w:val="0"/>
              <w:rPr>
                <w:rFonts w:ascii="宋体" w:hAnsi="宋体"/>
                <w:sz w:val="24"/>
                <w:szCs w:val="24"/>
              </w:rPr>
            </w:pPr>
            <w:bookmarkStart w:id="31" w:name="_Toc173211906"/>
            <w:bookmarkStart w:id="32" w:name="_Toc254970594"/>
            <w:bookmarkStart w:id="33" w:name="_Toc254970735"/>
            <w:bookmarkStart w:id="34" w:name="_Toc405905883"/>
            <w:bookmarkStart w:id="35" w:name="_Toc173066407"/>
            <w:bookmarkStart w:id="36" w:name="_Toc17134958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23776AC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8204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F4030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29F8A4">
            <w:pPr>
              <w:adjustRightInd w:val="0"/>
              <w:snapToGrid w:val="0"/>
              <w:spacing w:line="240" w:lineRule="exact"/>
              <w:jc w:val="center"/>
              <w:outlineLvl w:val="0"/>
              <w:rPr>
                <w:rFonts w:ascii="宋体" w:hAnsi="宋体"/>
                <w:sz w:val="24"/>
                <w:szCs w:val="24"/>
              </w:rPr>
            </w:pPr>
          </w:p>
        </w:tc>
      </w:tr>
      <w:tr w14:paraId="29BF9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105EE4">
            <w:pPr>
              <w:adjustRightInd w:val="0"/>
              <w:snapToGrid w:val="0"/>
              <w:spacing w:line="240" w:lineRule="exact"/>
              <w:jc w:val="center"/>
              <w:outlineLvl w:val="0"/>
              <w:rPr>
                <w:rFonts w:ascii="宋体" w:hAnsi="宋体"/>
                <w:sz w:val="24"/>
                <w:szCs w:val="24"/>
              </w:rPr>
            </w:pPr>
            <w:bookmarkStart w:id="37" w:name="_Toc254970595"/>
            <w:bookmarkStart w:id="38" w:name="_Toc173211907"/>
            <w:bookmarkStart w:id="39" w:name="_Toc254970736"/>
            <w:bookmarkStart w:id="40" w:name="_Toc173066408"/>
            <w:bookmarkStart w:id="41" w:name="_Toc405905884"/>
            <w:bookmarkStart w:id="42" w:name="_Toc17134958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AD473B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FE462A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825D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5C6426">
            <w:pPr>
              <w:adjustRightInd w:val="0"/>
              <w:snapToGrid w:val="0"/>
              <w:spacing w:line="240" w:lineRule="exact"/>
              <w:jc w:val="center"/>
              <w:outlineLvl w:val="0"/>
              <w:rPr>
                <w:rFonts w:ascii="宋体" w:hAnsi="宋体"/>
                <w:sz w:val="24"/>
                <w:szCs w:val="24"/>
              </w:rPr>
            </w:pPr>
          </w:p>
        </w:tc>
      </w:tr>
      <w:tr w14:paraId="06DD9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CF5CBD">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6D0A78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08BB8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082EE8">
            <w:pPr>
              <w:adjustRightInd w:val="0"/>
              <w:snapToGrid w:val="0"/>
              <w:spacing w:line="240" w:lineRule="exact"/>
              <w:jc w:val="center"/>
              <w:outlineLvl w:val="0"/>
              <w:rPr>
                <w:rFonts w:ascii="宋体" w:hAnsi="宋体"/>
                <w:sz w:val="24"/>
                <w:szCs w:val="24"/>
              </w:rPr>
            </w:pPr>
            <w:bookmarkStart w:id="55" w:name="_GoBack"/>
            <w:bookmarkEnd w:id="55"/>
          </w:p>
        </w:tc>
        <w:tc>
          <w:tcPr>
            <w:tcW w:w="1361" w:type="dxa"/>
            <w:tcBorders>
              <w:top w:val="single" w:color="auto" w:sz="6" w:space="0"/>
              <w:left w:val="single" w:color="auto" w:sz="6" w:space="0"/>
              <w:bottom w:val="single" w:color="auto" w:sz="6" w:space="0"/>
              <w:right w:val="single" w:color="auto" w:sz="4" w:space="0"/>
            </w:tcBorders>
            <w:vAlign w:val="center"/>
          </w:tcPr>
          <w:p w14:paraId="7B625351">
            <w:pPr>
              <w:adjustRightInd w:val="0"/>
              <w:snapToGrid w:val="0"/>
              <w:spacing w:line="240" w:lineRule="exact"/>
              <w:jc w:val="center"/>
              <w:outlineLvl w:val="0"/>
              <w:rPr>
                <w:rFonts w:ascii="宋体" w:hAnsi="宋体"/>
                <w:sz w:val="24"/>
                <w:szCs w:val="24"/>
              </w:rPr>
            </w:pPr>
          </w:p>
        </w:tc>
      </w:tr>
      <w:tr w14:paraId="15284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203F02">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120E9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3FD2C">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5582A9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5067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A00C8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A57638">
            <w:pPr>
              <w:adjustRightInd w:val="0"/>
              <w:snapToGrid w:val="0"/>
              <w:spacing w:line="240" w:lineRule="exact"/>
              <w:jc w:val="center"/>
              <w:outlineLvl w:val="0"/>
              <w:rPr>
                <w:rFonts w:ascii="宋体" w:hAnsi="宋体"/>
                <w:sz w:val="24"/>
                <w:szCs w:val="24"/>
              </w:rPr>
            </w:pPr>
          </w:p>
        </w:tc>
      </w:tr>
      <w:tr w14:paraId="50364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7A2DD6">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C541E9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259BD6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D9B53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30E787">
            <w:pPr>
              <w:adjustRightInd w:val="0"/>
              <w:snapToGrid w:val="0"/>
              <w:spacing w:line="240" w:lineRule="exact"/>
              <w:jc w:val="center"/>
              <w:outlineLvl w:val="0"/>
              <w:rPr>
                <w:rFonts w:ascii="宋体" w:hAnsi="宋体"/>
                <w:sz w:val="24"/>
                <w:szCs w:val="24"/>
              </w:rPr>
            </w:pPr>
          </w:p>
        </w:tc>
      </w:tr>
      <w:tr w14:paraId="4CB75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42391B">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D19C8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005B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F88B0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536F80">
            <w:pPr>
              <w:adjustRightInd w:val="0"/>
              <w:snapToGrid w:val="0"/>
              <w:spacing w:line="240" w:lineRule="exact"/>
              <w:jc w:val="center"/>
              <w:outlineLvl w:val="0"/>
              <w:rPr>
                <w:rFonts w:ascii="宋体" w:hAnsi="宋体"/>
                <w:sz w:val="24"/>
                <w:szCs w:val="24"/>
              </w:rPr>
            </w:pPr>
          </w:p>
        </w:tc>
      </w:tr>
      <w:tr w14:paraId="43444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D8D0EB7">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BDD0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54DF4B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E14A4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1DF04571">
            <w:pPr>
              <w:adjustRightInd w:val="0"/>
              <w:snapToGrid w:val="0"/>
              <w:spacing w:line="240" w:lineRule="exact"/>
              <w:jc w:val="center"/>
              <w:outlineLvl w:val="0"/>
              <w:rPr>
                <w:rFonts w:ascii="宋体" w:hAnsi="宋体"/>
                <w:sz w:val="24"/>
                <w:szCs w:val="24"/>
              </w:rPr>
            </w:pPr>
          </w:p>
        </w:tc>
      </w:tr>
    </w:tbl>
    <w:p w14:paraId="5ABBE68C">
      <w:pPr>
        <w:adjustRightInd w:val="0"/>
        <w:snapToGrid w:val="0"/>
        <w:spacing w:line="460" w:lineRule="exact"/>
        <w:rPr>
          <w:rFonts w:ascii="宋体" w:hAnsi="宋体"/>
          <w:sz w:val="24"/>
        </w:rPr>
      </w:pPr>
      <w:r>
        <w:rPr>
          <w:rFonts w:hint="eastAsia" w:ascii="宋体" w:hAnsi="宋体"/>
          <w:sz w:val="24"/>
        </w:rPr>
        <w:t>说明：</w:t>
      </w:r>
    </w:p>
    <w:p w14:paraId="450D5F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395539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317C9FF">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C5ABADA">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0864BD">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BE07DDF">
      <w:pPr>
        <w:spacing w:after="120"/>
        <w:jc w:val="left"/>
        <w:rPr>
          <w:rFonts w:ascii="宋体" w:hAnsi="宋体" w:cs="宋体"/>
          <w:b/>
          <w:sz w:val="24"/>
          <w:szCs w:val="24"/>
        </w:rPr>
      </w:pPr>
    </w:p>
    <w:p w14:paraId="5EA40933">
      <w:pPr>
        <w:spacing w:after="120"/>
        <w:jc w:val="left"/>
      </w:pPr>
      <w:r>
        <w:rPr>
          <w:rFonts w:hint="eastAsia" w:ascii="宋体" w:hAnsi="宋体" w:cs="宋体"/>
          <w:b/>
          <w:sz w:val="24"/>
          <w:szCs w:val="24"/>
        </w:rPr>
        <w:t xml:space="preserve">      　　　　　　　　　　　　　                           日期：   年  月  日</w:t>
      </w:r>
    </w:p>
    <w:sectPr>
      <w:pgSz w:w="11906" w:h="16838"/>
      <w:pgMar w:top="567" w:right="482"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08572"/>
    <w:multiLevelType w:val="singleLevel"/>
    <w:tmpl w:val="46A08572"/>
    <w:lvl w:ilvl="0" w:tentative="0">
      <w:start w:val="2"/>
      <w:numFmt w:val="decimal"/>
      <w:lvlText w:val="%1."/>
      <w:lvlJc w:val="left"/>
      <w:pPr>
        <w:tabs>
          <w:tab w:val="left" w:pos="312"/>
        </w:tabs>
      </w:pPr>
    </w:lvl>
  </w:abstractNum>
  <w:abstractNum w:abstractNumId="1">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2">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4CE9"/>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832D3"/>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3AB7370"/>
    <w:rsid w:val="05B955A9"/>
    <w:rsid w:val="05EB2ECD"/>
    <w:rsid w:val="07831B0C"/>
    <w:rsid w:val="07C7583A"/>
    <w:rsid w:val="0C911AFA"/>
    <w:rsid w:val="0D157B86"/>
    <w:rsid w:val="0DE15120"/>
    <w:rsid w:val="0DF12FDB"/>
    <w:rsid w:val="0F7909A8"/>
    <w:rsid w:val="0FE93A22"/>
    <w:rsid w:val="105D1B31"/>
    <w:rsid w:val="17EE7E4D"/>
    <w:rsid w:val="1A317F88"/>
    <w:rsid w:val="1A675CCB"/>
    <w:rsid w:val="1AAB0964"/>
    <w:rsid w:val="1B912C21"/>
    <w:rsid w:val="1BD21D89"/>
    <w:rsid w:val="1C1D680F"/>
    <w:rsid w:val="1F2D6B06"/>
    <w:rsid w:val="1F752E36"/>
    <w:rsid w:val="22A52928"/>
    <w:rsid w:val="234A77AC"/>
    <w:rsid w:val="252218B8"/>
    <w:rsid w:val="25EA35B4"/>
    <w:rsid w:val="27EF3D12"/>
    <w:rsid w:val="2B183A7F"/>
    <w:rsid w:val="2B5B3134"/>
    <w:rsid w:val="2C8F0B18"/>
    <w:rsid w:val="2CD63E90"/>
    <w:rsid w:val="2F060581"/>
    <w:rsid w:val="303A0730"/>
    <w:rsid w:val="316424EB"/>
    <w:rsid w:val="31F8332A"/>
    <w:rsid w:val="32227022"/>
    <w:rsid w:val="32DD4E3E"/>
    <w:rsid w:val="33194A17"/>
    <w:rsid w:val="3442143F"/>
    <w:rsid w:val="36AA33F6"/>
    <w:rsid w:val="37FC2926"/>
    <w:rsid w:val="38910D12"/>
    <w:rsid w:val="39124E76"/>
    <w:rsid w:val="3BEC5927"/>
    <w:rsid w:val="3D271595"/>
    <w:rsid w:val="3DEA4B22"/>
    <w:rsid w:val="3F34383F"/>
    <w:rsid w:val="3F4C5993"/>
    <w:rsid w:val="40876CB2"/>
    <w:rsid w:val="421D10B7"/>
    <w:rsid w:val="44933EA8"/>
    <w:rsid w:val="46517D32"/>
    <w:rsid w:val="4CAF2004"/>
    <w:rsid w:val="4EA26AF3"/>
    <w:rsid w:val="52C5188C"/>
    <w:rsid w:val="57013F4B"/>
    <w:rsid w:val="572531DE"/>
    <w:rsid w:val="5771506E"/>
    <w:rsid w:val="59B7566F"/>
    <w:rsid w:val="5C1C2E1C"/>
    <w:rsid w:val="5D194ACB"/>
    <w:rsid w:val="5DFD28D7"/>
    <w:rsid w:val="5EC6574C"/>
    <w:rsid w:val="60EE2402"/>
    <w:rsid w:val="63772297"/>
    <w:rsid w:val="63EE34BC"/>
    <w:rsid w:val="650959E3"/>
    <w:rsid w:val="6617473D"/>
    <w:rsid w:val="68A43AD7"/>
    <w:rsid w:val="6D8B7F12"/>
    <w:rsid w:val="6DDA3127"/>
    <w:rsid w:val="7066285B"/>
    <w:rsid w:val="70BA2651"/>
    <w:rsid w:val="75106CE6"/>
    <w:rsid w:val="75822D8C"/>
    <w:rsid w:val="75AA195E"/>
    <w:rsid w:val="77DF03B7"/>
    <w:rsid w:val="77E87D32"/>
    <w:rsid w:val="780340CB"/>
    <w:rsid w:val="788A77FE"/>
    <w:rsid w:val="78F34399"/>
    <w:rsid w:val="7A8770A4"/>
    <w:rsid w:val="7AE109D4"/>
    <w:rsid w:val="7BA30B19"/>
    <w:rsid w:val="7C9557AD"/>
    <w:rsid w:val="7CE02FBF"/>
    <w:rsid w:val="7DB66D75"/>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table" w:styleId="18">
    <w:name w:val="Table Grid"/>
    <w:basedOn w:val="17"/>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9"/>
    <w:link w:val="7"/>
    <w:qFormat/>
    <w:uiPriority w:val="99"/>
  </w:style>
  <w:style w:type="character" w:customStyle="1" w:styleId="24">
    <w:name w:val="正文首行缩进 Char"/>
    <w:basedOn w:val="23"/>
    <w:link w:val="16"/>
    <w:qFormat/>
    <w:uiPriority w:val="99"/>
  </w:style>
  <w:style w:type="character" w:customStyle="1" w:styleId="25">
    <w:name w:val="标题 1 Char"/>
    <w:basedOn w:val="19"/>
    <w:link w:val="2"/>
    <w:qFormat/>
    <w:uiPriority w:val="9"/>
    <w:rPr>
      <w:b/>
      <w:bCs/>
      <w:kern w:val="44"/>
      <w:sz w:val="44"/>
      <w:szCs w:val="44"/>
    </w:rPr>
  </w:style>
  <w:style w:type="character" w:customStyle="1" w:styleId="26">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9"/>
    <w:link w:val="12"/>
    <w:qFormat/>
    <w:uiPriority w:val="99"/>
    <w:rPr>
      <w:rFonts w:asciiTheme="minorHAnsi" w:hAnsiTheme="minorHAnsi" w:eastAsiaTheme="minorEastAsia" w:cstheme="minorBidi"/>
      <w:kern w:val="2"/>
      <w:sz w:val="18"/>
      <w:szCs w:val="18"/>
    </w:rPr>
  </w:style>
  <w:style w:type="character" w:customStyle="1" w:styleId="28">
    <w:name w:val="页脚 Char"/>
    <w:basedOn w:val="19"/>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9"/>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9"/>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font41"/>
    <w:qFormat/>
    <w:uiPriority w:val="0"/>
    <w:rPr>
      <w:rFonts w:hint="eastAsia" w:ascii="宋体" w:hAnsi="宋体" w:eastAsia="宋体" w:cs="宋体"/>
      <w:color w:val="000000"/>
      <w:sz w:val="20"/>
      <w:szCs w:val="20"/>
      <w:u w:val="none"/>
    </w:rPr>
  </w:style>
  <w:style w:type="paragraph" w:customStyle="1" w:styleId="37">
    <w:name w:val="标题2"/>
    <w:basedOn w:val="1"/>
    <w:next w:val="1"/>
    <w:qFormat/>
    <w:uiPriority w:val="0"/>
    <w:pPr>
      <w:ind w:firstLine="0" w:firstLineChars="0"/>
      <w:outlineLvl w:val="1"/>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7665</Words>
  <Characters>7841</Characters>
  <Lines>47</Lines>
  <Paragraphs>13</Paragraphs>
  <TotalTime>9</TotalTime>
  <ScaleCrop>false</ScaleCrop>
  <LinksUpToDate>false</LinksUpToDate>
  <CharactersWithSpaces>7990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2025-11-20T10:39:31Z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eyJoZGlkIjoiMTUxNWVlZjMyNjZiMzEzOTJiNmJlOGU1ZThjMWI2YzUiLCJ1c2VySWQiOiIxNjczMDYyMTg2In0=</vt:lpwstr>
  </property>
  <property fmtid="{D5CDD505-2E9C-101B-9397-08002B2CF9AE}" pid="4" name="ICV">
    <vt:lpwstr>748776341247488D99C65A0954A4AB80_12</vt:lpwstr>
  </property>
</Properties>
</file>