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09DC53D">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4A9E4749">
      <w:pPr>
        <w:spacing w:line="520" w:lineRule="exact"/>
        <w:jc w:val="center"/>
        <w:rPr>
          <w:rFonts w:ascii="Arial" w:hAnsi="Arial" w:cs="Arial"/>
          <w:b/>
          <w:sz w:val="28"/>
          <w:szCs w:val="32"/>
        </w:rPr>
      </w:pPr>
      <w:r>
        <w:rPr>
          <w:rFonts w:hint="eastAsia" w:ascii="Arial" w:hAnsi="Arial" w:cs="Arial"/>
          <w:b/>
          <w:sz w:val="28"/>
          <w:szCs w:val="32"/>
        </w:rPr>
        <w:t>2025年度通识网络课程服务采购项目</w:t>
      </w:r>
      <w:r>
        <w:rPr>
          <w:rFonts w:ascii="Arial" w:hAnsi="Arial" w:cs="Arial"/>
          <w:b/>
          <w:sz w:val="28"/>
          <w:szCs w:val="32"/>
        </w:rPr>
        <w:t>询价采购公告</w:t>
      </w:r>
    </w:p>
    <w:p w14:paraId="75A4000B">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val="en-US" w:eastAsia="zh-CN" w:bidi="en-US"/>
        </w:rPr>
        <w:t>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8</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日</w:t>
      </w:r>
    </w:p>
    <w:p w14:paraId="1A73D039">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2025年度通识网络课程服务采购</w:t>
      </w:r>
    </w:p>
    <w:p w14:paraId="02702BDB">
      <w:pPr>
        <w:numPr>
          <w:ilvl w:val="0"/>
          <w:numId w:val="1"/>
        </w:numPr>
        <w:spacing w:line="520" w:lineRule="exact"/>
        <w:rPr>
          <w:rFonts w:hint="eastAsia" w:ascii="Arial" w:hAnsi="Arial" w:cs="Arial"/>
          <w:bCs/>
          <w:kern w:val="0"/>
          <w:sz w:val="24"/>
          <w:szCs w:val="28"/>
          <w:lang w:val="en-US" w:eastAsia="zh-CN"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捌万伍仟元整（¥85000.00）</w:t>
      </w:r>
    </w:p>
    <w:p w14:paraId="0051BEEE">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评标方法：综合评分法</w:t>
      </w:r>
    </w:p>
    <w:p w14:paraId="3061B3DA">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484EA097">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8"/>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715"/>
        <w:gridCol w:w="7963"/>
        <w:gridCol w:w="375"/>
        <w:gridCol w:w="465"/>
      </w:tblGrid>
      <w:tr w14:paraId="1688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6" w:type="dxa"/>
            <w:vAlign w:val="center"/>
          </w:tcPr>
          <w:p w14:paraId="04FE70C4">
            <w:pPr>
              <w:widowControl/>
              <w:jc w:val="center"/>
              <w:rPr>
                <w:rFonts w:ascii="Arial" w:hAnsi="Arial" w:cs="Arial"/>
                <w:color w:val="000000"/>
                <w:kern w:val="0"/>
                <w:szCs w:val="21"/>
              </w:rPr>
            </w:pPr>
            <w:r>
              <w:rPr>
                <w:rFonts w:ascii="Arial" w:hAnsi="Arial" w:cs="Arial"/>
                <w:color w:val="000000"/>
                <w:kern w:val="0"/>
                <w:szCs w:val="21"/>
              </w:rPr>
              <w:t>序号</w:t>
            </w:r>
          </w:p>
        </w:tc>
        <w:tc>
          <w:tcPr>
            <w:tcW w:w="715" w:type="dxa"/>
            <w:shd w:val="clear" w:color="auto" w:fill="auto"/>
            <w:noWrap/>
            <w:vAlign w:val="center"/>
          </w:tcPr>
          <w:p w14:paraId="691BB09D">
            <w:pPr>
              <w:widowControl/>
              <w:jc w:val="center"/>
              <w:rPr>
                <w:rFonts w:ascii="Arial" w:hAnsi="Arial" w:cs="Arial"/>
                <w:color w:val="000000"/>
                <w:kern w:val="0"/>
                <w:szCs w:val="21"/>
              </w:rPr>
            </w:pPr>
            <w:r>
              <w:rPr>
                <w:rFonts w:ascii="Arial" w:hAnsi="Arial" w:cs="Arial"/>
                <w:color w:val="000000"/>
                <w:kern w:val="0"/>
                <w:szCs w:val="21"/>
              </w:rPr>
              <w:t>名称</w:t>
            </w:r>
          </w:p>
        </w:tc>
        <w:tc>
          <w:tcPr>
            <w:tcW w:w="7963" w:type="dxa"/>
            <w:shd w:val="clear" w:color="auto" w:fill="auto"/>
            <w:noWrap/>
            <w:vAlign w:val="center"/>
          </w:tcPr>
          <w:p w14:paraId="21FEFDD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A1B3F9">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7574E1C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1BB1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706" w:type="dxa"/>
          </w:tcPr>
          <w:p w14:paraId="6EB98DE1">
            <w:pPr>
              <w:widowControl/>
              <w:rPr>
                <w:rFonts w:ascii="Arial" w:hAnsi="Arial" w:cs="Arial"/>
                <w:kern w:val="0"/>
                <w:szCs w:val="21"/>
              </w:rPr>
            </w:pPr>
            <w:r>
              <w:rPr>
                <w:rFonts w:ascii="Arial" w:hAnsi="Arial" w:cs="Arial"/>
                <w:kern w:val="0"/>
                <w:szCs w:val="21"/>
              </w:rPr>
              <w:t>1</w:t>
            </w:r>
          </w:p>
        </w:tc>
        <w:tc>
          <w:tcPr>
            <w:tcW w:w="715" w:type="dxa"/>
            <w:shd w:val="clear" w:color="auto" w:fill="auto"/>
            <w:noWrap/>
          </w:tcPr>
          <w:p w14:paraId="557D21FF">
            <w:pPr>
              <w:widowControl/>
              <w:jc w:val="left"/>
              <w:rPr>
                <w:rFonts w:ascii="Arial" w:hAnsi="Arial" w:cs="Arial"/>
                <w:kern w:val="0"/>
                <w:szCs w:val="21"/>
              </w:rPr>
            </w:pPr>
            <w:r>
              <w:rPr>
                <w:rFonts w:hint="eastAsia" w:ascii="Arial" w:hAnsi="Arial" w:cs="Arial"/>
                <w:bCs/>
                <w:kern w:val="0"/>
                <w:sz w:val="24"/>
                <w:szCs w:val="28"/>
                <w:lang w:bidi="en-US"/>
              </w:rPr>
              <w:t>2025年度通识网络课程服务</w:t>
            </w:r>
          </w:p>
        </w:tc>
        <w:tc>
          <w:tcPr>
            <w:tcW w:w="7963" w:type="dxa"/>
            <w:shd w:val="clear" w:color="auto" w:fill="auto"/>
            <w:noWrap/>
          </w:tcPr>
          <w:p w14:paraId="318C128C">
            <w:pPr>
              <w:spacing w:line="276" w:lineRule="auto"/>
              <w:rPr>
                <w:rFonts w:ascii="宋体" w:hAnsi="宋体" w:cs="宋体"/>
                <w:color w:val="000000"/>
                <w:szCs w:val="21"/>
              </w:rPr>
            </w:pPr>
            <w:r>
              <w:rPr>
                <w:rFonts w:hint="eastAsia" w:ascii="宋体" w:hAnsi="宋体" w:cs="宋体"/>
                <w:color w:val="000000"/>
                <w:szCs w:val="21"/>
              </w:rPr>
              <w:t>一、课程资源</w:t>
            </w:r>
          </w:p>
          <w:tbl>
            <w:tblPr>
              <w:tblStyle w:val="18"/>
              <w:tblW w:w="7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5557"/>
              <w:gridCol w:w="1249"/>
            </w:tblGrid>
            <w:tr w14:paraId="27B6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31E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557" w:type="dxa"/>
                  <w:tcBorders>
                    <w:top w:val="single" w:color="000000" w:sz="8" w:space="0"/>
                    <w:left w:val="nil"/>
                    <w:bottom w:val="single" w:color="000000" w:sz="8" w:space="0"/>
                    <w:right w:val="single" w:color="000000" w:sz="8" w:space="0"/>
                  </w:tcBorders>
                  <w:shd w:val="clear" w:color="auto" w:fill="auto"/>
                  <w:noWrap/>
                  <w:vAlign w:val="center"/>
                </w:tcPr>
                <w:p w14:paraId="6ECA7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课程名称</w:t>
                  </w:r>
                </w:p>
              </w:tc>
              <w:tc>
                <w:tcPr>
                  <w:tcW w:w="1249" w:type="dxa"/>
                  <w:tcBorders>
                    <w:top w:val="single" w:color="000000" w:sz="8" w:space="0"/>
                    <w:left w:val="nil"/>
                    <w:bottom w:val="single" w:color="000000" w:sz="8" w:space="0"/>
                    <w:right w:val="single" w:color="000000" w:sz="8" w:space="0"/>
                  </w:tcBorders>
                  <w:shd w:val="clear" w:color="auto" w:fill="auto"/>
                  <w:noWrap/>
                  <w:vAlign w:val="center"/>
                </w:tcPr>
                <w:p w14:paraId="256AB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开课层次</w:t>
                  </w:r>
                </w:p>
              </w:tc>
            </w:tr>
            <w:tr w14:paraId="5653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39231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7" w:type="dxa"/>
                  <w:tcBorders>
                    <w:top w:val="nil"/>
                    <w:left w:val="nil"/>
                    <w:bottom w:val="single" w:color="000000" w:sz="8" w:space="0"/>
                    <w:right w:val="single" w:color="000000" w:sz="8" w:space="0"/>
                  </w:tcBorders>
                  <w:shd w:val="clear" w:color="auto" w:fill="auto"/>
                  <w:noWrap/>
                  <w:vAlign w:val="center"/>
                </w:tcPr>
                <w:p w14:paraId="339513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海上丝绸之路</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4B8EE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1738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2C110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57" w:type="dxa"/>
                  <w:tcBorders>
                    <w:top w:val="nil"/>
                    <w:left w:val="nil"/>
                    <w:bottom w:val="single" w:color="000000" w:sz="8" w:space="0"/>
                    <w:right w:val="single" w:color="000000" w:sz="8" w:space="0"/>
                  </w:tcBorders>
                  <w:shd w:val="clear" w:color="auto" w:fill="auto"/>
                  <w:noWrap/>
                  <w:vAlign w:val="center"/>
                </w:tcPr>
                <w:p w14:paraId="2BAF9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欧洲文明的现代历程</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61094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68C9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6871C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557" w:type="dxa"/>
                  <w:tcBorders>
                    <w:top w:val="nil"/>
                    <w:left w:val="nil"/>
                    <w:bottom w:val="single" w:color="000000" w:sz="8" w:space="0"/>
                    <w:right w:val="single" w:color="000000" w:sz="8" w:space="0"/>
                  </w:tcBorders>
                  <w:shd w:val="clear" w:color="auto" w:fill="auto"/>
                  <w:noWrap/>
                  <w:vAlign w:val="center"/>
                </w:tcPr>
                <w:p w14:paraId="0B806D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跨文化交际</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07858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7DED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2A3B1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7" w:type="dxa"/>
                  <w:tcBorders>
                    <w:top w:val="nil"/>
                    <w:left w:val="nil"/>
                    <w:bottom w:val="single" w:color="000000" w:sz="8" w:space="0"/>
                    <w:right w:val="single" w:color="000000" w:sz="8" w:space="0"/>
                  </w:tcBorders>
                  <w:shd w:val="clear" w:color="auto" w:fill="auto"/>
                  <w:noWrap/>
                  <w:vAlign w:val="center"/>
                </w:tcPr>
                <w:p w14:paraId="2947D9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海上丝绸之路</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1B12F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40F4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264E6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557" w:type="dxa"/>
                  <w:tcBorders>
                    <w:top w:val="nil"/>
                    <w:left w:val="nil"/>
                    <w:bottom w:val="single" w:color="000000" w:sz="8" w:space="0"/>
                    <w:right w:val="single" w:color="000000" w:sz="8" w:space="0"/>
                  </w:tcBorders>
                  <w:shd w:val="clear" w:color="auto" w:fill="auto"/>
                  <w:noWrap/>
                  <w:vAlign w:val="center"/>
                </w:tcPr>
                <w:p w14:paraId="6A5232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欧洲文明的现代历程</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2ECB5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76F5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13C7F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557" w:type="dxa"/>
                  <w:tcBorders>
                    <w:top w:val="nil"/>
                    <w:left w:val="nil"/>
                    <w:bottom w:val="single" w:color="000000" w:sz="8" w:space="0"/>
                    <w:right w:val="single" w:color="000000" w:sz="8" w:space="0"/>
                  </w:tcBorders>
                  <w:shd w:val="clear" w:color="auto" w:fill="auto"/>
                  <w:noWrap/>
                  <w:vAlign w:val="center"/>
                </w:tcPr>
                <w:p w14:paraId="04E369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跨文化交际</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14A7D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1444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5E4AE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557" w:type="dxa"/>
                  <w:tcBorders>
                    <w:top w:val="nil"/>
                    <w:left w:val="nil"/>
                    <w:bottom w:val="single" w:color="000000" w:sz="8" w:space="0"/>
                    <w:right w:val="single" w:color="000000" w:sz="8" w:space="0"/>
                  </w:tcBorders>
                  <w:shd w:val="clear" w:color="auto" w:fill="auto"/>
                  <w:noWrap/>
                  <w:vAlign w:val="center"/>
                </w:tcPr>
                <w:p w14:paraId="4EF2CC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红色旅游与文化传承</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2A58C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3CFE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7E22F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557" w:type="dxa"/>
                  <w:tcBorders>
                    <w:top w:val="nil"/>
                    <w:left w:val="nil"/>
                    <w:bottom w:val="single" w:color="000000" w:sz="8" w:space="0"/>
                    <w:right w:val="single" w:color="000000" w:sz="8" w:space="0"/>
                  </w:tcBorders>
                  <w:shd w:val="clear" w:color="auto" w:fill="auto"/>
                  <w:noWrap/>
                  <w:vAlign w:val="center"/>
                </w:tcPr>
                <w:p w14:paraId="1FF506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法律与社会</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10944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393A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4EBD5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557" w:type="dxa"/>
                  <w:tcBorders>
                    <w:top w:val="nil"/>
                    <w:left w:val="nil"/>
                    <w:bottom w:val="single" w:color="000000" w:sz="8" w:space="0"/>
                    <w:right w:val="single" w:color="000000" w:sz="8" w:space="0"/>
                  </w:tcBorders>
                  <w:shd w:val="clear" w:color="auto" w:fill="auto"/>
                  <w:noWrap/>
                  <w:vAlign w:val="center"/>
                </w:tcPr>
                <w:p w14:paraId="29227F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中国共产党人的精神谱系</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6D7A1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1867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43113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7" w:type="dxa"/>
                  <w:tcBorders>
                    <w:top w:val="nil"/>
                    <w:left w:val="nil"/>
                    <w:bottom w:val="single" w:color="000000" w:sz="8" w:space="0"/>
                    <w:right w:val="single" w:color="000000" w:sz="8" w:space="0"/>
                  </w:tcBorders>
                  <w:shd w:val="clear" w:color="auto" w:fill="auto"/>
                  <w:noWrap/>
                  <w:vAlign w:val="center"/>
                </w:tcPr>
                <w:p w14:paraId="666951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乡村振兴的实践探索</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71496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71FE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695D8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557" w:type="dxa"/>
                  <w:tcBorders>
                    <w:top w:val="nil"/>
                    <w:left w:val="nil"/>
                    <w:bottom w:val="single" w:color="000000" w:sz="8" w:space="0"/>
                    <w:right w:val="single" w:color="000000" w:sz="8" w:space="0"/>
                  </w:tcBorders>
                  <w:shd w:val="clear" w:color="auto" w:fill="auto"/>
                  <w:noWrap/>
                  <w:vAlign w:val="center"/>
                </w:tcPr>
                <w:p w14:paraId="447FDD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法律与社会</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39C14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7382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5D133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557" w:type="dxa"/>
                  <w:tcBorders>
                    <w:top w:val="nil"/>
                    <w:left w:val="nil"/>
                    <w:bottom w:val="single" w:color="000000" w:sz="8" w:space="0"/>
                    <w:right w:val="single" w:color="000000" w:sz="8" w:space="0"/>
                  </w:tcBorders>
                  <w:shd w:val="clear" w:color="auto" w:fill="auto"/>
                  <w:noWrap/>
                  <w:vAlign w:val="center"/>
                </w:tcPr>
                <w:p w14:paraId="552B1C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红色旅游与文化传承</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4B9C0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4A2F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5C925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557" w:type="dxa"/>
                  <w:tcBorders>
                    <w:top w:val="nil"/>
                    <w:left w:val="nil"/>
                    <w:bottom w:val="single" w:color="000000" w:sz="8" w:space="0"/>
                    <w:right w:val="single" w:color="000000" w:sz="8" w:space="0"/>
                  </w:tcBorders>
                  <w:shd w:val="clear" w:color="auto" w:fill="auto"/>
                  <w:noWrap/>
                  <w:vAlign w:val="center"/>
                </w:tcPr>
                <w:p w14:paraId="7DC1CE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中华民族精神</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1CCB9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6497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41204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557" w:type="dxa"/>
                  <w:tcBorders>
                    <w:top w:val="nil"/>
                    <w:left w:val="nil"/>
                    <w:bottom w:val="single" w:color="000000" w:sz="8" w:space="0"/>
                    <w:right w:val="single" w:color="000000" w:sz="8" w:space="0"/>
                  </w:tcBorders>
                  <w:shd w:val="clear" w:color="auto" w:fill="auto"/>
                  <w:noWrap/>
                  <w:vAlign w:val="center"/>
                </w:tcPr>
                <w:p w14:paraId="2A94C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个人理财规划</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00E6E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2EA6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6D2F3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557" w:type="dxa"/>
                  <w:tcBorders>
                    <w:top w:val="nil"/>
                    <w:left w:val="nil"/>
                    <w:bottom w:val="single" w:color="000000" w:sz="8" w:space="0"/>
                    <w:right w:val="single" w:color="000000" w:sz="8" w:space="0"/>
                  </w:tcBorders>
                  <w:shd w:val="clear" w:color="auto" w:fill="auto"/>
                  <w:noWrap/>
                  <w:vAlign w:val="center"/>
                </w:tcPr>
                <w:p w14:paraId="183A3F6F">
                  <w:pPr>
                    <w:keepNext w:val="0"/>
                    <w:keepLines w:val="0"/>
                    <w:widowControl/>
                    <w:suppressLineNumbers w:val="0"/>
                    <w:jc w:val="left"/>
                    <w:textAlignment w:val="center"/>
                    <w:rPr>
                      <w:rFonts w:hint="default" w:ascii="Arial" w:hAnsi="Arial" w:eastAsia="宋体" w:cs="Arial"/>
                      <w:i w:val="0"/>
                      <w:iCs w:val="0"/>
                      <w:color w:val="000000"/>
                      <w:sz w:val="21"/>
                      <w:szCs w:val="21"/>
                      <w:u w:val="none"/>
                    </w:rPr>
                  </w:pPr>
                  <w:r>
                    <w:rPr>
                      <w:rStyle w:val="37"/>
                      <w:rFonts w:eastAsia="宋体"/>
                      <w:sz w:val="21"/>
                      <w:szCs w:val="21"/>
                      <w:lang w:val="en-US" w:eastAsia="zh-CN" w:bidi="ar"/>
                    </w:rPr>
                    <w:t>2026</w:t>
                  </w:r>
                  <w:r>
                    <w:rPr>
                      <w:rStyle w:val="36"/>
                      <w:sz w:val="21"/>
                      <w:szCs w:val="21"/>
                      <w:lang w:val="en-US" w:eastAsia="zh-CN" w:bidi="ar"/>
                    </w:rPr>
                    <w:t>考研英语强化班</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65E31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2247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65322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557" w:type="dxa"/>
                  <w:tcBorders>
                    <w:top w:val="nil"/>
                    <w:left w:val="nil"/>
                    <w:bottom w:val="single" w:color="000000" w:sz="8" w:space="0"/>
                    <w:right w:val="single" w:color="000000" w:sz="8" w:space="0"/>
                  </w:tcBorders>
                  <w:shd w:val="clear" w:color="auto" w:fill="auto"/>
                  <w:noWrap/>
                  <w:vAlign w:val="center"/>
                </w:tcPr>
                <w:p w14:paraId="1B542D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文献信息检索与利用</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39E05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60CE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090EB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557" w:type="dxa"/>
                  <w:tcBorders>
                    <w:top w:val="nil"/>
                    <w:left w:val="nil"/>
                    <w:bottom w:val="single" w:color="000000" w:sz="8" w:space="0"/>
                    <w:right w:val="single" w:color="000000" w:sz="8" w:space="0"/>
                  </w:tcBorders>
                  <w:shd w:val="clear" w:color="auto" w:fill="auto"/>
                  <w:noWrap/>
                  <w:vAlign w:val="center"/>
                </w:tcPr>
                <w:p w14:paraId="6DE7FD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创造力与创新人才</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3E8FE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3422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6DEEA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557" w:type="dxa"/>
                  <w:tcBorders>
                    <w:top w:val="nil"/>
                    <w:left w:val="nil"/>
                    <w:bottom w:val="single" w:color="000000" w:sz="8" w:space="0"/>
                    <w:right w:val="single" w:color="000000" w:sz="8" w:space="0"/>
                  </w:tcBorders>
                  <w:shd w:val="clear" w:color="auto" w:fill="auto"/>
                  <w:noWrap/>
                  <w:vAlign w:val="center"/>
                </w:tcPr>
                <w:p w14:paraId="775B7C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论文写作与科研入门</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001AF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7DBE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2A179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557" w:type="dxa"/>
                  <w:tcBorders>
                    <w:top w:val="nil"/>
                    <w:left w:val="nil"/>
                    <w:bottom w:val="single" w:color="000000" w:sz="8" w:space="0"/>
                    <w:right w:val="single" w:color="000000" w:sz="8" w:space="0"/>
                  </w:tcBorders>
                  <w:shd w:val="clear" w:color="auto" w:fill="auto"/>
                  <w:noWrap/>
                  <w:vAlign w:val="center"/>
                </w:tcPr>
                <w:p w14:paraId="092B6B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心理学的智慧</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7E252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5FB5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56345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7" w:type="dxa"/>
                  <w:tcBorders>
                    <w:top w:val="nil"/>
                    <w:left w:val="nil"/>
                    <w:bottom w:val="single" w:color="000000" w:sz="8" w:space="0"/>
                    <w:right w:val="single" w:color="000000" w:sz="8" w:space="0"/>
                  </w:tcBorders>
                  <w:shd w:val="clear" w:color="auto" w:fill="auto"/>
                  <w:noWrap/>
                  <w:vAlign w:val="center"/>
                </w:tcPr>
                <w:p w14:paraId="09FC1C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汉字文化解密</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094CC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721A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31A1B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557" w:type="dxa"/>
                  <w:tcBorders>
                    <w:top w:val="nil"/>
                    <w:left w:val="nil"/>
                    <w:bottom w:val="single" w:color="000000" w:sz="8" w:space="0"/>
                    <w:right w:val="single" w:color="000000" w:sz="8" w:space="0"/>
                  </w:tcBorders>
                  <w:shd w:val="clear" w:color="auto" w:fill="auto"/>
                  <w:noWrap/>
                  <w:vAlign w:val="center"/>
                </w:tcPr>
                <w:p w14:paraId="7944B4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光影中国</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00FAA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1993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249FB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557" w:type="dxa"/>
                  <w:tcBorders>
                    <w:top w:val="nil"/>
                    <w:left w:val="nil"/>
                    <w:bottom w:val="single" w:color="000000" w:sz="8" w:space="0"/>
                    <w:right w:val="single" w:color="000000" w:sz="8" w:space="0"/>
                  </w:tcBorders>
                  <w:shd w:val="clear" w:color="auto" w:fill="auto"/>
                  <w:noWrap/>
                  <w:vAlign w:val="center"/>
                </w:tcPr>
                <w:p w14:paraId="428EC9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时尚与品牌</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158FF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2848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21298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557" w:type="dxa"/>
                  <w:tcBorders>
                    <w:top w:val="nil"/>
                    <w:left w:val="nil"/>
                    <w:bottom w:val="single" w:color="000000" w:sz="8" w:space="0"/>
                    <w:right w:val="single" w:color="000000" w:sz="8" w:space="0"/>
                  </w:tcBorders>
                  <w:shd w:val="clear" w:color="auto" w:fill="auto"/>
                  <w:noWrap/>
                  <w:vAlign w:val="center"/>
                </w:tcPr>
                <w:p w14:paraId="750A5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绘画里的中国：走进大师与经典</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438E0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4DF9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5EED3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557" w:type="dxa"/>
                  <w:tcBorders>
                    <w:top w:val="nil"/>
                    <w:left w:val="nil"/>
                    <w:bottom w:val="single" w:color="000000" w:sz="8" w:space="0"/>
                    <w:right w:val="single" w:color="000000" w:sz="8" w:space="0"/>
                  </w:tcBorders>
                  <w:shd w:val="clear" w:color="auto" w:fill="auto"/>
                  <w:noWrap/>
                  <w:vAlign w:val="center"/>
                </w:tcPr>
                <w:p w14:paraId="3FAE1B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中国陶瓷鉴赏与器物陈设</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2C88D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1FEB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39C9F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557" w:type="dxa"/>
                  <w:tcBorders>
                    <w:top w:val="nil"/>
                    <w:left w:val="nil"/>
                    <w:bottom w:val="single" w:color="000000" w:sz="8" w:space="0"/>
                    <w:right w:val="single" w:color="000000" w:sz="8" w:space="0"/>
                  </w:tcBorders>
                  <w:shd w:val="clear" w:color="auto" w:fill="auto"/>
                  <w:noWrap/>
                  <w:vAlign w:val="center"/>
                </w:tcPr>
                <w:p w14:paraId="448FF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管理素质与能力的五项修炼</w:t>
                  </w:r>
                  <w:r>
                    <w:rPr>
                      <w:rStyle w:val="37"/>
                      <w:rFonts w:eastAsia="宋体"/>
                      <w:sz w:val="21"/>
                      <w:szCs w:val="21"/>
                      <w:lang w:val="en-US" w:eastAsia="zh-CN" w:bidi="ar"/>
                    </w:rPr>
                    <w:t>——</w:t>
                  </w:r>
                  <w:r>
                    <w:rPr>
                      <w:rStyle w:val="36"/>
                      <w:sz w:val="21"/>
                      <w:szCs w:val="21"/>
                      <w:lang w:val="en-US" w:eastAsia="zh-CN" w:bidi="ar"/>
                    </w:rPr>
                    <w:t>跟我学</w:t>
                  </w:r>
                  <w:r>
                    <w:rPr>
                      <w:rStyle w:val="37"/>
                      <w:rFonts w:eastAsia="宋体"/>
                      <w:sz w:val="21"/>
                      <w:szCs w:val="21"/>
                      <w:lang w:val="en-US" w:eastAsia="zh-CN" w:bidi="ar"/>
                    </w:rPr>
                    <w:t>“</w:t>
                  </w:r>
                  <w:r>
                    <w:rPr>
                      <w:rStyle w:val="36"/>
                      <w:sz w:val="21"/>
                      <w:szCs w:val="21"/>
                      <w:lang w:val="en-US" w:eastAsia="zh-CN" w:bidi="ar"/>
                    </w:rPr>
                    <w:t>管理学</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19860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27B7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06E5D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557" w:type="dxa"/>
                  <w:tcBorders>
                    <w:top w:val="nil"/>
                    <w:left w:val="nil"/>
                    <w:bottom w:val="single" w:color="000000" w:sz="8" w:space="0"/>
                    <w:right w:val="single" w:color="000000" w:sz="8" w:space="0"/>
                  </w:tcBorders>
                  <w:shd w:val="clear" w:color="auto" w:fill="auto"/>
                  <w:noWrap/>
                  <w:vAlign w:val="center"/>
                </w:tcPr>
                <w:p w14:paraId="15865C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啤酒酿造与文化</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5CEFD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54A1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18596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557" w:type="dxa"/>
                  <w:tcBorders>
                    <w:top w:val="nil"/>
                    <w:left w:val="nil"/>
                    <w:bottom w:val="single" w:color="000000" w:sz="8" w:space="0"/>
                    <w:right w:val="single" w:color="000000" w:sz="8" w:space="0"/>
                  </w:tcBorders>
                  <w:shd w:val="clear" w:color="auto" w:fill="auto"/>
                  <w:noWrap/>
                  <w:vAlign w:val="center"/>
                </w:tcPr>
                <w:p w14:paraId="214EB7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探寻中国茶：一片树叶的传奇之旅</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5DBCA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128E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4C8B7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557" w:type="dxa"/>
                  <w:tcBorders>
                    <w:top w:val="nil"/>
                    <w:left w:val="nil"/>
                    <w:bottom w:val="single" w:color="000000" w:sz="8" w:space="0"/>
                    <w:right w:val="single" w:color="000000" w:sz="8" w:space="0"/>
                  </w:tcBorders>
                  <w:shd w:val="clear" w:color="auto" w:fill="auto"/>
                  <w:noWrap/>
                  <w:vAlign w:val="center"/>
                </w:tcPr>
                <w:p w14:paraId="0C92E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管理素质与能力的五项修炼</w:t>
                  </w:r>
                  <w:r>
                    <w:rPr>
                      <w:rStyle w:val="37"/>
                      <w:rFonts w:eastAsia="宋体"/>
                      <w:sz w:val="21"/>
                      <w:szCs w:val="21"/>
                      <w:lang w:val="en-US" w:eastAsia="zh-CN" w:bidi="ar"/>
                    </w:rPr>
                    <w:t>——</w:t>
                  </w:r>
                  <w:r>
                    <w:rPr>
                      <w:rStyle w:val="36"/>
                      <w:sz w:val="21"/>
                      <w:szCs w:val="21"/>
                      <w:lang w:val="en-US" w:eastAsia="zh-CN" w:bidi="ar"/>
                    </w:rPr>
                    <w:t>跟我学</w:t>
                  </w:r>
                  <w:r>
                    <w:rPr>
                      <w:rStyle w:val="37"/>
                      <w:rFonts w:eastAsia="宋体"/>
                      <w:sz w:val="21"/>
                      <w:szCs w:val="21"/>
                      <w:lang w:val="en-US" w:eastAsia="zh-CN" w:bidi="ar"/>
                    </w:rPr>
                    <w:t>“</w:t>
                  </w:r>
                  <w:r>
                    <w:rPr>
                      <w:rStyle w:val="36"/>
                      <w:sz w:val="21"/>
                      <w:szCs w:val="21"/>
                      <w:lang w:val="en-US" w:eastAsia="zh-CN" w:bidi="ar"/>
                    </w:rPr>
                    <w:t>管理学</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2BBA4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0CAB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779FB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557" w:type="dxa"/>
                  <w:tcBorders>
                    <w:top w:val="nil"/>
                    <w:left w:val="nil"/>
                    <w:bottom w:val="single" w:color="000000" w:sz="8" w:space="0"/>
                    <w:right w:val="single" w:color="000000" w:sz="8" w:space="0"/>
                  </w:tcBorders>
                  <w:shd w:val="clear" w:color="auto" w:fill="auto"/>
                  <w:noWrap/>
                  <w:vAlign w:val="center"/>
                </w:tcPr>
                <w:p w14:paraId="405CB0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文化遗产与自然遗产</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038DA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028F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1A6C8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57" w:type="dxa"/>
                  <w:tcBorders>
                    <w:top w:val="nil"/>
                    <w:left w:val="nil"/>
                    <w:bottom w:val="single" w:color="000000" w:sz="8" w:space="0"/>
                    <w:right w:val="single" w:color="000000" w:sz="8" w:space="0"/>
                  </w:tcBorders>
                  <w:shd w:val="clear" w:color="auto" w:fill="auto"/>
                  <w:noWrap/>
                  <w:vAlign w:val="center"/>
                </w:tcPr>
                <w:p w14:paraId="01040F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领导力与高效管理</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52C92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1855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5BCC9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5557" w:type="dxa"/>
                  <w:tcBorders>
                    <w:top w:val="nil"/>
                    <w:left w:val="nil"/>
                    <w:bottom w:val="single" w:color="000000" w:sz="8" w:space="0"/>
                    <w:right w:val="single" w:color="000000" w:sz="8" w:space="0"/>
                  </w:tcBorders>
                  <w:shd w:val="clear" w:color="auto" w:fill="auto"/>
                  <w:noWrap/>
                  <w:vAlign w:val="center"/>
                </w:tcPr>
                <w:p w14:paraId="3ED7F7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经济基础与应用</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2AFCE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1984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5302E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5557" w:type="dxa"/>
                  <w:tcBorders>
                    <w:top w:val="nil"/>
                    <w:left w:val="nil"/>
                    <w:bottom w:val="single" w:color="000000" w:sz="8" w:space="0"/>
                    <w:right w:val="single" w:color="000000" w:sz="8" w:space="0"/>
                  </w:tcBorders>
                  <w:shd w:val="clear" w:color="auto" w:fill="auto"/>
                  <w:noWrap/>
                  <w:vAlign w:val="center"/>
                </w:tcPr>
                <w:p w14:paraId="26648E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内部控制与风险管理</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1FF95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541E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29615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5557" w:type="dxa"/>
                  <w:tcBorders>
                    <w:top w:val="nil"/>
                    <w:left w:val="nil"/>
                    <w:bottom w:val="single" w:color="000000" w:sz="8" w:space="0"/>
                    <w:right w:val="single" w:color="000000" w:sz="8" w:space="0"/>
                  </w:tcBorders>
                  <w:shd w:val="clear" w:color="auto" w:fill="auto"/>
                  <w:noWrap/>
                  <w:vAlign w:val="center"/>
                </w:tcPr>
                <w:p w14:paraId="5BD821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食品营养与健康</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7DAFA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0E0B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5BD16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5557" w:type="dxa"/>
                  <w:tcBorders>
                    <w:top w:val="nil"/>
                    <w:left w:val="nil"/>
                    <w:bottom w:val="single" w:color="000000" w:sz="8" w:space="0"/>
                    <w:right w:val="single" w:color="000000" w:sz="8" w:space="0"/>
                  </w:tcBorders>
                  <w:shd w:val="clear" w:color="auto" w:fill="auto"/>
                  <w:noWrap/>
                  <w:vAlign w:val="center"/>
                </w:tcPr>
                <w:p w14:paraId="44179F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食品质量控制与管理</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2B44B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7C4C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05818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557" w:type="dxa"/>
                  <w:tcBorders>
                    <w:top w:val="nil"/>
                    <w:left w:val="nil"/>
                    <w:bottom w:val="single" w:color="000000" w:sz="8" w:space="0"/>
                    <w:right w:val="single" w:color="000000" w:sz="8" w:space="0"/>
                  </w:tcBorders>
                  <w:shd w:val="clear" w:color="auto" w:fill="auto"/>
                  <w:noWrap/>
                  <w:vAlign w:val="center"/>
                </w:tcPr>
                <w:p w14:paraId="2D9CE0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食品营养与健康</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69E74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5EA6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133B9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7" w:type="dxa"/>
                  <w:tcBorders>
                    <w:top w:val="nil"/>
                    <w:left w:val="nil"/>
                    <w:bottom w:val="single" w:color="000000" w:sz="8" w:space="0"/>
                    <w:right w:val="single" w:color="000000" w:sz="8" w:space="0"/>
                  </w:tcBorders>
                  <w:shd w:val="clear" w:color="auto" w:fill="auto"/>
                  <w:noWrap/>
                  <w:vAlign w:val="center"/>
                </w:tcPr>
                <w:p w14:paraId="6A8B79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化学与中国文明</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5AC61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7693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18D68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5557" w:type="dxa"/>
                  <w:tcBorders>
                    <w:top w:val="nil"/>
                    <w:left w:val="nil"/>
                    <w:bottom w:val="single" w:color="000000" w:sz="8" w:space="0"/>
                    <w:right w:val="single" w:color="000000" w:sz="8" w:space="0"/>
                  </w:tcBorders>
                  <w:shd w:val="clear" w:color="auto" w:fill="auto"/>
                  <w:noWrap/>
                  <w:vAlign w:val="center"/>
                </w:tcPr>
                <w:p w14:paraId="7DC240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垃圾分类</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5045D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2A38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3ED11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5557" w:type="dxa"/>
                  <w:tcBorders>
                    <w:top w:val="nil"/>
                    <w:left w:val="nil"/>
                    <w:bottom w:val="single" w:color="000000" w:sz="8" w:space="0"/>
                    <w:right w:val="single" w:color="000000" w:sz="8" w:space="0"/>
                  </w:tcBorders>
                  <w:shd w:val="clear" w:color="auto" w:fill="auto"/>
                  <w:noWrap/>
                  <w:vAlign w:val="center"/>
                </w:tcPr>
                <w:p w14:paraId="23278B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生态文明</w:t>
                  </w:r>
                  <w:r>
                    <w:rPr>
                      <w:rStyle w:val="37"/>
                      <w:rFonts w:eastAsia="宋体"/>
                      <w:sz w:val="21"/>
                      <w:szCs w:val="21"/>
                      <w:lang w:val="en-US" w:eastAsia="zh-CN" w:bidi="ar"/>
                    </w:rPr>
                    <w:t>——</w:t>
                  </w:r>
                  <w:r>
                    <w:rPr>
                      <w:rStyle w:val="36"/>
                      <w:sz w:val="21"/>
                      <w:szCs w:val="21"/>
                      <w:lang w:val="en-US" w:eastAsia="zh-CN" w:bidi="ar"/>
                    </w:rPr>
                    <w:t>撑起美丽中国梦</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42A7E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5F98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36D49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5557" w:type="dxa"/>
                  <w:tcBorders>
                    <w:top w:val="nil"/>
                    <w:left w:val="nil"/>
                    <w:bottom w:val="single" w:color="000000" w:sz="8" w:space="0"/>
                    <w:right w:val="single" w:color="000000" w:sz="8" w:space="0"/>
                  </w:tcBorders>
                  <w:shd w:val="clear" w:color="auto" w:fill="auto"/>
                  <w:noWrap/>
                  <w:vAlign w:val="center"/>
                </w:tcPr>
                <w:p w14:paraId="69FEAB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科学计算与</w:t>
                  </w:r>
                  <w:r>
                    <w:rPr>
                      <w:rStyle w:val="37"/>
                      <w:rFonts w:eastAsia="宋体"/>
                      <w:sz w:val="21"/>
                      <w:szCs w:val="21"/>
                      <w:lang w:val="en-US" w:eastAsia="zh-CN" w:bidi="ar"/>
                    </w:rPr>
                    <w:t>MATLAB</w:t>
                  </w:r>
                  <w:r>
                    <w:rPr>
                      <w:rStyle w:val="36"/>
                      <w:sz w:val="21"/>
                      <w:szCs w:val="21"/>
                      <w:lang w:val="en-US" w:eastAsia="zh-CN" w:bidi="ar"/>
                    </w:rPr>
                    <w:t>语言</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490C7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本科课程</w:t>
                  </w:r>
                </w:p>
              </w:tc>
            </w:tr>
            <w:tr w14:paraId="3A56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4C2D9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557" w:type="dxa"/>
                  <w:tcBorders>
                    <w:top w:val="nil"/>
                    <w:left w:val="nil"/>
                    <w:bottom w:val="single" w:color="000000" w:sz="8" w:space="0"/>
                    <w:right w:val="single" w:color="000000" w:sz="8" w:space="0"/>
                  </w:tcBorders>
                  <w:shd w:val="clear" w:color="auto" w:fill="auto"/>
                  <w:noWrap/>
                  <w:vAlign w:val="center"/>
                </w:tcPr>
                <w:p w14:paraId="6E68EA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人人都能上手的</w:t>
                  </w:r>
                  <w:r>
                    <w:rPr>
                      <w:rStyle w:val="37"/>
                      <w:rFonts w:eastAsia="宋体"/>
                      <w:sz w:val="21"/>
                      <w:szCs w:val="21"/>
                      <w:lang w:val="en-US" w:eastAsia="zh-CN" w:bidi="ar"/>
                    </w:rPr>
                    <w:t>AI</w:t>
                  </w:r>
                  <w:r>
                    <w:rPr>
                      <w:rStyle w:val="36"/>
                      <w:sz w:val="21"/>
                      <w:szCs w:val="21"/>
                      <w:lang w:val="en-US" w:eastAsia="zh-CN" w:bidi="ar"/>
                    </w:rPr>
                    <w:t>工具</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28C86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2BF8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08C12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5557" w:type="dxa"/>
                  <w:tcBorders>
                    <w:top w:val="nil"/>
                    <w:left w:val="nil"/>
                    <w:bottom w:val="single" w:color="000000" w:sz="8" w:space="0"/>
                    <w:right w:val="single" w:color="000000" w:sz="8" w:space="0"/>
                  </w:tcBorders>
                  <w:shd w:val="clear" w:color="auto" w:fill="auto"/>
                  <w:noWrap/>
                  <w:vAlign w:val="center"/>
                </w:tcPr>
                <w:p w14:paraId="01E2A7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数据时代的推断陷阱</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5B74B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7DE2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78DF6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557" w:type="dxa"/>
                  <w:tcBorders>
                    <w:top w:val="nil"/>
                    <w:left w:val="nil"/>
                    <w:bottom w:val="single" w:color="000000" w:sz="8" w:space="0"/>
                    <w:right w:val="single" w:color="000000" w:sz="8" w:space="0"/>
                  </w:tcBorders>
                  <w:shd w:val="clear" w:color="auto" w:fill="auto"/>
                  <w:noWrap/>
                  <w:vAlign w:val="center"/>
                </w:tcPr>
                <w:p w14:paraId="4417ED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人工智能与信息社会</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3C281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0902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4B6D0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5557" w:type="dxa"/>
                  <w:tcBorders>
                    <w:top w:val="nil"/>
                    <w:left w:val="nil"/>
                    <w:bottom w:val="single" w:color="000000" w:sz="8" w:space="0"/>
                    <w:right w:val="single" w:color="000000" w:sz="8" w:space="0"/>
                  </w:tcBorders>
                  <w:shd w:val="clear" w:color="auto" w:fill="auto"/>
                  <w:noWrap/>
                  <w:vAlign w:val="center"/>
                </w:tcPr>
                <w:p w14:paraId="61E78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数字时代的智能技术</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3825A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69E6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02968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5557" w:type="dxa"/>
                  <w:tcBorders>
                    <w:top w:val="nil"/>
                    <w:left w:val="nil"/>
                    <w:bottom w:val="single" w:color="000000" w:sz="8" w:space="0"/>
                    <w:right w:val="single" w:color="000000" w:sz="8" w:space="0"/>
                  </w:tcBorders>
                  <w:shd w:val="clear" w:color="auto" w:fill="auto"/>
                  <w:noWrap/>
                  <w:vAlign w:val="center"/>
                </w:tcPr>
                <w:p w14:paraId="0628B9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数字时代的智能技术</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763EA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r w14:paraId="2B17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34" w:type="dxa"/>
                  <w:tcBorders>
                    <w:top w:val="nil"/>
                    <w:left w:val="single" w:color="000000" w:sz="8" w:space="0"/>
                    <w:bottom w:val="single" w:color="000000" w:sz="8" w:space="0"/>
                    <w:right w:val="single" w:color="000000" w:sz="8" w:space="0"/>
                  </w:tcBorders>
                  <w:shd w:val="clear" w:color="auto" w:fill="auto"/>
                  <w:noWrap/>
                  <w:vAlign w:val="center"/>
                </w:tcPr>
                <w:p w14:paraId="356D6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5557" w:type="dxa"/>
                  <w:tcBorders>
                    <w:top w:val="nil"/>
                    <w:left w:val="nil"/>
                    <w:bottom w:val="single" w:color="000000" w:sz="8" w:space="0"/>
                    <w:right w:val="single" w:color="000000" w:sz="8" w:space="0"/>
                  </w:tcBorders>
                  <w:shd w:val="clear" w:color="auto" w:fill="auto"/>
                  <w:noWrap/>
                  <w:vAlign w:val="center"/>
                </w:tcPr>
                <w:p w14:paraId="62CB0D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人工智能与科学之美</w:t>
                  </w:r>
                  <w:r>
                    <w:rPr>
                      <w:rStyle w:val="37"/>
                      <w:rFonts w:eastAsia="宋体"/>
                      <w:sz w:val="21"/>
                      <w:szCs w:val="21"/>
                      <w:lang w:val="en-US" w:eastAsia="zh-CN" w:bidi="ar"/>
                    </w:rPr>
                    <w:t>(</w:t>
                  </w:r>
                  <w:r>
                    <w:rPr>
                      <w:rStyle w:val="36"/>
                      <w:sz w:val="21"/>
                      <w:szCs w:val="21"/>
                      <w:lang w:val="en-US" w:eastAsia="zh-CN" w:bidi="ar"/>
                    </w:rPr>
                    <w:t>网络选修课程</w:t>
                  </w:r>
                  <w:r>
                    <w:rPr>
                      <w:rStyle w:val="37"/>
                      <w:rFonts w:eastAsia="宋体"/>
                      <w:sz w:val="21"/>
                      <w:szCs w:val="21"/>
                      <w:lang w:val="en-US" w:eastAsia="zh-CN" w:bidi="ar"/>
                    </w:rPr>
                    <w:t>)</w:t>
                  </w:r>
                </w:p>
              </w:tc>
              <w:tc>
                <w:tcPr>
                  <w:tcW w:w="1249" w:type="dxa"/>
                  <w:tcBorders>
                    <w:top w:val="nil"/>
                    <w:left w:val="nil"/>
                    <w:bottom w:val="single" w:color="000000" w:sz="8" w:space="0"/>
                    <w:right w:val="single" w:color="000000" w:sz="8" w:space="0"/>
                  </w:tcBorders>
                  <w:shd w:val="clear" w:color="auto" w:fill="auto"/>
                  <w:noWrap/>
                  <w:vAlign w:val="center"/>
                </w:tcPr>
                <w:p w14:paraId="4DF89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专科课程</w:t>
                  </w:r>
                </w:p>
              </w:tc>
            </w:tr>
          </w:tbl>
          <w:p w14:paraId="26C3FEF3">
            <w:pPr>
              <w:spacing w:line="276" w:lineRule="auto"/>
              <w:rPr>
                <w:rFonts w:hint="eastAsia" w:ascii="宋体" w:hAnsi="宋体" w:cs="宋体"/>
                <w:color w:val="000000"/>
                <w:szCs w:val="21"/>
              </w:rPr>
            </w:pPr>
          </w:p>
          <w:p w14:paraId="25C29668">
            <w:pPr>
              <w:spacing w:line="276" w:lineRule="auto"/>
              <w:rPr>
                <w:rFonts w:hint="eastAsia" w:ascii="宋体" w:hAnsi="宋体" w:cs="宋体"/>
                <w:color w:val="000000"/>
                <w:szCs w:val="21"/>
              </w:rPr>
            </w:pPr>
          </w:p>
          <w:p w14:paraId="2C6B29FA">
            <w:pPr>
              <w:spacing w:line="276" w:lineRule="auto"/>
              <w:rPr>
                <w:rFonts w:ascii="宋体" w:hAnsi="宋体" w:cs="宋体"/>
                <w:color w:val="000000"/>
                <w:szCs w:val="21"/>
              </w:rPr>
            </w:pPr>
            <w:r>
              <w:rPr>
                <w:rFonts w:hint="eastAsia" w:ascii="宋体" w:hAnsi="宋体" w:cs="宋体"/>
                <w:color w:val="000000"/>
                <w:szCs w:val="21"/>
              </w:rPr>
              <w:t>2.配套资源要求</w:t>
            </w:r>
          </w:p>
          <w:p w14:paraId="162D7F1F">
            <w:pPr>
              <w:spacing w:line="276" w:lineRule="auto"/>
              <w:rPr>
                <w:rFonts w:ascii="宋体" w:hAnsi="宋体" w:cs="宋体"/>
                <w:color w:val="000000"/>
                <w:szCs w:val="21"/>
              </w:rPr>
            </w:pPr>
            <w:r>
              <w:rPr>
                <w:rFonts w:hint="eastAsia" w:ascii="宋体" w:hAnsi="宋体" w:cs="宋体"/>
                <w:color w:val="000000"/>
                <w:szCs w:val="21"/>
              </w:rPr>
              <w:t>（1）配套题库：题库应包括单选题、多选题、判断题、填空题、简答题等五种题型。课程视频数量多于20个，每门课程配套题库题目数量应不少于30道。教育主管部门相关政策另有规定时以具体规定为准。如课程内容不适合出简答、填空等主观题，可以暂不设置，但此类课程占总课程数量不得超过2%，此类课程题库总量不做要求。</w:t>
            </w:r>
          </w:p>
          <w:p w14:paraId="5B44CF56">
            <w:pPr>
              <w:spacing w:line="276" w:lineRule="auto"/>
              <w:rPr>
                <w:rFonts w:ascii="宋体" w:hAnsi="宋体" w:cs="宋体"/>
                <w:color w:val="000000"/>
                <w:szCs w:val="21"/>
              </w:rPr>
            </w:pPr>
            <w:r>
              <w:rPr>
                <w:rFonts w:hint="eastAsia" w:ascii="宋体" w:hAnsi="宋体" w:cs="宋体"/>
                <w:color w:val="000000"/>
                <w:szCs w:val="21"/>
              </w:rPr>
              <w:t>（2）试题难易程度：需提供难、中、易三种难度期末试卷供用户选择。难度为“易”的试卷需包括单选题、多选题、判断题三种题型；难度为“中”的试卷需包括单选题、多选题、判断题、填空题四种题型；难度为“难”的试卷需包括单选题、多选题、判断题、填空题、简答题。教育主管部门相关政策另有规定时以具体规定为准。如课程内容不适合出简答、填空等主观题的，可以暂不设置，但此类课程占总课程数量不得超过2%。</w:t>
            </w:r>
          </w:p>
          <w:p w14:paraId="0E984207">
            <w:pPr>
              <w:spacing w:line="276" w:lineRule="auto"/>
              <w:rPr>
                <w:rFonts w:ascii="宋体" w:hAnsi="宋体" w:cs="宋体"/>
                <w:color w:val="000000"/>
                <w:szCs w:val="21"/>
              </w:rPr>
            </w:pPr>
            <w:r>
              <w:rPr>
                <w:rFonts w:hint="eastAsia" w:ascii="宋体" w:hAnsi="宋体" w:cs="宋体"/>
                <w:color w:val="000000"/>
                <w:szCs w:val="21"/>
              </w:rPr>
              <w:t>（3）重点课程类型要求中的示范必修课应包含完整的教学视频、配套习题、教学PPT等内容。其中，ppt内容应符合教育部等主管部门公布的课程大纲要求，主管部门未公布课程大纲的，可参考相关领域权威高校课程内容。</w:t>
            </w:r>
          </w:p>
          <w:p w14:paraId="7475514A">
            <w:pPr>
              <w:spacing w:line="276" w:lineRule="auto"/>
              <w:rPr>
                <w:rFonts w:ascii="宋体" w:hAnsi="宋体" w:cs="宋体"/>
                <w:color w:val="000000"/>
                <w:szCs w:val="21"/>
              </w:rPr>
            </w:pPr>
            <w:r>
              <w:rPr>
                <w:rFonts w:hint="eastAsia" w:ascii="宋体" w:hAnsi="宋体" w:cs="宋体"/>
                <w:color w:val="000000"/>
                <w:szCs w:val="21"/>
              </w:rPr>
              <w:t>二、通识课程资源配套学习平台要求</w:t>
            </w:r>
          </w:p>
          <w:p w14:paraId="1597AD86">
            <w:pPr>
              <w:spacing w:line="276" w:lineRule="auto"/>
              <w:rPr>
                <w:rFonts w:ascii="宋体" w:hAnsi="宋体" w:cs="宋体"/>
                <w:color w:val="000000"/>
                <w:szCs w:val="21"/>
              </w:rPr>
            </w:pPr>
            <w:r>
              <w:rPr>
                <w:rFonts w:hint="eastAsia" w:ascii="宋体" w:hAnsi="宋体" w:cs="宋体"/>
                <w:color w:val="000000"/>
                <w:szCs w:val="21"/>
              </w:rPr>
              <w:t>1.技术服务要求</w:t>
            </w:r>
          </w:p>
          <w:p w14:paraId="16B4F704">
            <w:pPr>
              <w:spacing w:line="276" w:lineRule="auto"/>
              <w:rPr>
                <w:rFonts w:ascii="宋体" w:hAnsi="宋体" w:cs="宋体"/>
                <w:color w:val="000000"/>
                <w:szCs w:val="21"/>
              </w:rPr>
            </w:pPr>
            <w:r>
              <w:rPr>
                <w:rFonts w:hint="eastAsia" w:ascii="宋体" w:hAnsi="宋体" w:cs="宋体"/>
                <w:color w:val="000000"/>
                <w:szCs w:val="21"/>
              </w:rPr>
              <w:t>（1）具备保障本校校内≥10000人同时在线学习的运营服务能力。</w:t>
            </w:r>
          </w:p>
          <w:p w14:paraId="68371C0D">
            <w:pPr>
              <w:spacing w:line="276" w:lineRule="auto"/>
              <w:rPr>
                <w:rFonts w:ascii="宋体" w:hAnsi="宋体" w:cs="宋体"/>
                <w:color w:val="000000"/>
                <w:szCs w:val="21"/>
              </w:rPr>
            </w:pPr>
            <w:r>
              <w:rPr>
                <w:rFonts w:hint="eastAsia" w:ascii="宋体" w:hAnsi="宋体" w:cs="宋体"/>
                <w:color w:val="000000"/>
                <w:szCs w:val="21"/>
              </w:rPr>
              <w:t>（2）支持云服务、混合部署等部署方式。</w:t>
            </w:r>
          </w:p>
          <w:p w14:paraId="52EA834A">
            <w:pPr>
              <w:spacing w:line="276" w:lineRule="auto"/>
              <w:rPr>
                <w:rFonts w:ascii="宋体" w:hAnsi="宋体" w:cs="宋体"/>
                <w:color w:val="000000"/>
                <w:szCs w:val="21"/>
              </w:rPr>
            </w:pPr>
            <w:r>
              <w:rPr>
                <w:rFonts w:hint="eastAsia" w:ascii="宋体" w:hAnsi="宋体" w:cs="宋体"/>
                <w:color w:val="000000"/>
                <w:szCs w:val="21"/>
              </w:rPr>
              <w:t>（3）报价人服务期内免费更新维护配套学习平台。</w:t>
            </w:r>
          </w:p>
          <w:p w14:paraId="6F06D32D">
            <w:pPr>
              <w:spacing w:line="276" w:lineRule="auto"/>
              <w:rPr>
                <w:rFonts w:ascii="宋体" w:hAnsi="宋体" w:cs="宋体"/>
                <w:color w:val="000000"/>
                <w:szCs w:val="21"/>
              </w:rPr>
            </w:pPr>
            <w:r>
              <w:rPr>
                <w:rFonts w:hint="eastAsia" w:ascii="宋体" w:hAnsi="宋体" w:cs="宋体"/>
                <w:color w:val="000000"/>
                <w:szCs w:val="21"/>
              </w:rPr>
              <w:t>（4）报价人在服务期满期后2年内，根据采购人要求免费提供学习数据导出服务。</w:t>
            </w:r>
          </w:p>
          <w:p w14:paraId="6877CF54">
            <w:pPr>
              <w:spacing w:line="276" w:lineRule="auto"/>
              <w:rPr>
                <w:rFonts w:ascii="宋体" w:hAnsi="宋体" w:cs="宋体"/>
                <w:color w:val="000000"/>
                <w:szCs w:val="21"/>
              </w:rPr>
            </w:pPr>
            <w:r>
              <w:rPr>
                <w:rFonts w:hint="eastAsia" w:ascii="宋体" w:hAnsi="宋体" w:cs="宋体"/>
                <w:color w:val="000000"/>
                <w:szCs w:val="21"/>
              </w:rPr>
              <w:t>2.系统对接要求：</w:t>
            </w:r>
          </w:p>
          <w:p w14:paraId="670D6B6B">
            <w:pPr>
              <w:spacing w:line="276" w:lineRule="auto"/>
              <w:rPr>
                <w:rFonts w:ascii="宋体" w:hAnsi="宋体" w:cs="宋体"/>
                <w:color w:val="000000"/>
                <w:szCs w:val="21"/>
              </w:rPr>
            </w:pPr>
            <w:r>
              <w:rPr>
                <w:rFonts w:hint="eastAsia" w:ascii="宋体" w:hAnsi="宋体" w:cs="宋体"/>
                <w:color w:val="000000"/>
                <w:szCs w:val="21"/>
              </w:rPr>
              <w:t>（1）学习平台实现与采购人的统一身份认证平台、教务管理系统数据对接，按采购人要求实现数据对接。</w:t>
            </w:r>
          </w:p>
          <w:p w14:paraId="769F0201">
            <w:pPr>
              <w:spacing w:line="276" w:lineRule="auto"/>
              <w:rPr>
                <w:rFonts w:ascii="宋体" w:hAnsi="宋体" w:cs="宋体"/>
                <w:color w:val="000000"/>
                <w:szCs w:val="21"/>
              </w:rPr>
            </w:pPr>
            <w:r>
              <w:rPr>
                <w:rFonts w:hint="eastAsia" w:ascii="宋体" w:hAnsi="宋体" w:cs="宋体"/>
                <w:color w:val="000000"/>
                <w:szCs w:val="21"/>
              </w:rPr>
              <w:t>（2）实现课程成绩导出与教务系统对接。</w:t>
            </w:r>
          </w:p>
          <w:p w14:paraId="4F4ABE0E">
            <w:pPr>
              <w:spacing w:line="276" w:lineRule="auto"/>
              <w:rPr>
                <w:rFonts w:ascii="宋体" w:hAnsi="宋体" w:cs="宋体"/>
                <w:color w:val="000000"/>
                <w:szCs w:val="21"/>
              </w:rPr>
            </w:pPr>
            <w:r>
              <w:rPr>
                <w:rFonts w:hint="eastAsia" w:ascii="宋体" w:hAnsi="宋体" w:cs="宋体"/>
                <w:color w:val="000000"/>
                <w:szCs w:val="21"/>
              </w:rPr>
              <w:t>3.通识课程教学管理相关功能要求</w:t>
            </w:r>
          </w:p>
          <w:p w14:paraId="106D4C8C">
            <w:pPr>
              <w:spacing w:line="276" w:lineRule="auto"/>
              <w:rPr>
                <w:rFonts w:ascii="宋体" w:hAnsi="宋体" w:cs="宋体"/>
                <w:color w:val="000000"/>
                <w:szCs w:val="21"/>
              </w:rPr>
            </w:pPr>
            <w:r>
              <w:rPr>
                <w:rFonts w:hint="eastAsia" w:ascii="宋体" w:hAnsi="宋体" w:cs="宋体"/>
                <w:color w:val="000000"/>
                <w:szCs w:val="21"/>
              </w:rPr>
              <w:t>（1）考核维度根据采购人需要统一设置，根据不同课程分别设置。知识点自选课程考核以下所有操作行为：登录、视频观看时长、阅读时长、测验题、讨论、学习笔记、线下活动。其他课程考核应包含但不限于签到、视频、作业、考试、阅读、直播、登录（访问）、线下成绩等维度。考核维度所占权重支持用户自定义设置，支持在整个学习流程中随时修改。</w:t>
            </w:r>
          </w:p>
          <w:p w14:paraId="4398B6E9">
            <w:pPr>
              <w:spacing w:line="276" w:lineRule="auto"/>
              <w:rPr>
                <w:rFonts w:ascii="宋体" w:hAnsi="宋体" w:cs="宋体"/>
                <w:color w:val="000000"/>
                <w:szCs w:val="21"/>
              </w:rPr>
            </w:pPr>
            <w:r>
              <w:rPr>
                <w:rFonts w:hint="eastAsia" w:ascii="宋体" w:hAnsi="宋体" w:cs="宋体"/>
                <w:color w:val="000000"/>
                <w:szCs w:val="21"/>
              </w:rPr>
              <w:t>（2）支持对助教教师及学生的行为进行记录与分析。包括学生使用各模块学习的时间分配、学习次数，学生学习教学资料、参与辅助教学的情况汇总；提供教师工作行为记录分析，包括教师使用各模块教学的时间分配、教学次数。</w:t>
            </w:r>
          </w:p>
          <w:p w14:paraId="722094B4">
            <w:pPr>
              <w:spacing w:line="276" w:lineRule="auto"/>
              <w:rPr>
                <w:rFonts w:ascii="宋体" w:hAnsi="宋体" w:cs="宋体"/>
                <w:color w:val="000000"/>
                <w:szCs w:val="21"/>
              </w:rPr>
            </w:pPr>
            <w:r>
              <w:rPr>
                <w:rFonts w:hint="eastAsia" w:ascii="宋体" w:hAnsi="宋体" w:cs="宋体"/>
                <w:color w:val="000000"/>
                <w:szCs w:val="21"/>
              </w:rPr>
              <w:t>（3）采用多种手段对某一课程的教学效果进行在线实时统计，对班级成绩进行统计分析，对教师、学生行为进行统计分析，支持表单和图表样式显示结果，可以导出统计结果。</w:t>
            </w:r>
          </w:p>
          <w:p w14:paraId="3223EC23">
            <w:pPr>
              <w:spacing w:line="276" w:lineRule="auto"/>
              <w:rPr>
                <w:rFonts w:ascii="宋体" w:hAnsi="宋体" w:cs="宋体"/>
                <w:color w:val="000000"/>
                <w:szCs w:val="21"/>
              </w:rPr>
            </w:pPr>
            <w:r>
              <w:rPr>
                <w:rFonts w:hint="eastAsia" w:ascii="宋体" w:hAnsi="宋体" w:cs="宋体"/>
                <w:color w:val="000000"/>
                <w:szCs w:val="21"/>
              </w:rPr>
              <w:t>4.课程教学相关功能要求</w:t>
            </w:r>
          </w:p>
          <w:p w14:paraId="1FD3C5D9">
            <w:pPr>
              <w:spacing w:line="276" w:lineRule="auto"/>
              <w:rPr>
                <w:rFonts w:ascii="宋体" w:hAnsi="宋体" w:cs="宋体"/>
                <w:color w:val="000000"/>
                <w:szCs w:val="21"/>
              </w:rPr>
            </w:pPr>
            <w:r>
              <w:rPr>
                <w:rFonts w:hint="eastAsia" w:ascii="宋体" w:hAnsi="宋体" w:cs="宋体"/>
                <w:color w:val="000000"/>
                <w:szCs w:val="21"/>
              </w:rPr>
              <w:t>（1）课程视频需支持开启或关闭闯关式教学。开启状态下，学生必须完成当前任务后方可进入下一章节，在取消闯关模式后学生可自由进行学习。</w:t>
            </w:r>
          </w:p>
          <w:p w14:paraId="6F947149">
            <w:pPr>
              <w:spacing w:line="276" w:lineRule="auto"/>
              <w:rPr>
                <w:rFonts w:ascii="宋体" w:hAnsi="宋体" w:cs="宋体"/>
                <w:color w:val="000000"/>
                <w:szCs w:val="21"/>
              </w:rPr>
            </w:pPr>
            <w:r>
              <w:rPr>
                <w:rFonts w:hint="eastAsia" w:ascii="宋体" w:hAnsi="宋体" w:cs="宋体"/>
                <w:color w:val="000000"/>
                <w:szCs w:val="21"/>
              </w:rPr>
              <w:t>（2）课程支持复习模式，允许学生自由学习课程内容。复习模式下观看视频、作答测验不记录学习成绩。</w:t>
            </w:r>
          </w:p>
          <w:p w14:paraId="36F9075A">
            <w:pPr>
              <w:spacing w:line="276" w:lineRule="auto"/>
              <w:rPr>
                <w:rFonts w:ascii="宋体" w:hAnsi="宋体" w:cs="宋体"/>
                <w:color w:val="000000"/>
                <w:szCs w:val="21"/>
              </w:rPr>
            </w:pPr>
            <w:r>
              <w:rPr>
                <w:rFonts w:hint="eastAsia" w:ascii="宋体" w:hAnsi="宋体" w:cs="宋体"/>
                <w:color w:val="000000"/>
                <w:szCs w:val="21"/>
              </w:rPr>
              <w:t>▲（3）学生在线学习课程时，支持进度记忆、支持防止拖拽、防止跳集观看3种功能，防止观看课程时进行其他活动。</w:t>
            </w:r>
          </w:p>
          <w:p w14:paraId="46472D3D">
            <w:pPr>
              <w:spacing w:line="276" w:lineRule="auto"/>
              <w:rPr>
                <w:rFonts w:ascii="宋体" w:hAnsi="宋体" w:cs="宋体"/>
                <w:color w:val="000000"/>
                <w:szCs w:val="21"/>
              </w:rPr>
            </w:pPr>
            <w:r>
              <w:rPr>
                <w:rFonts w:hint="eastAsia" w:ascii="宋体" w:hAnsi="宋体" w:cs="宋体"/>
                <w:color w:val="000000"/>
                <w:szCs w:val="21"/>
              </w:rPr>
              <w:t xml:space="preserve">▲（4）学生考核包含视频、作业、考试、章节学习次数4个维度，根据需要灵活设置。 </w:t>
            </w:r>
          </w:p>
          <w:p w14:paraId="71AA48A4">
            <w:pPr>
              <w:spacing w:line="276" w:lineRule="auto"/>
              <w:rPr>
                <w:rFonts w:ascii="宋体" w:hAnsi="宋体" w:cs="宋体"/>
                <w:color w:val="000000"/>
                <w:szCs w:val="21"/>
              </w:rPr>
            </w:pPr>
            <w:r>
              <w:rPr>
                <w:rFonts w:hint="eastAsia" w:ascii="宋体" w:hAnsi="宋体" w:cs="宋体"/>
                <w:color w:val="000000"/>
                <w:szCs w:val="21"/>
              </w:rPr>
              <w:t>（5）除了平台课程自带题库外，需支持教师自主出题并批量上传至课程题库（上传格式支持word），支持批量下载。教师在编辑课程内容时可直接调取题库内容。</w:t>
            </w:r>
          </w:p>
          <w:p w14:paraId="738374EA">
            <w:pPr>
              <w:spacing w:line="276" w:lineRule="auto"/>
              <w:rPr>
                <w:rFonts w:ascii="宋体" w:hAnsi="宋体" w:cs="宋体"/>
                <w:color w:val="000000"/>
                <w:szCs w:val="21"/>
              </w:rPr>
            </w:pPr>
            <w:r>
              <w:rPr>
                <w:rFonts w:hint="eastAsia" w:ascii="宋体" w:hAnsi="宋体" w:cs="宋体"/>
                <w:color w:val="000000"/>
                <w:szCs w:val="21"/>
              </w:rPr>
              <w:t>（6）课程章节测验应支持高级设置功能，允许用户自主决定是否允许学生提交作业后查看答案、查看分数、查看对错情况，支持将题目设置为随机乱序，支持从指定题库中抽选特定数量题目要求学生作答。</w:t>
            </w:r>
          </w:p>
          <w:p w14:paraId="0025F922">
            <w:pPr>
              <w:spacing w:line="276" w:lineRule="auto"/>
              <w:rPr>
                <w:rFonts w:ascii="宋体" w:hAnsi="宋体" w:cs="宋体"/>
                <w:color w:val="000000"/>
                <w:szCs w:val="21"/>
              </w:rPr>
            </w:pPr>
            <w:r>
              <w:rPr>
                <w:rFonts w:hint="eastAsia" w:ascii="宋体" w:hAnsi="宋体" w:cs="宋体"/>
                <w:color w:val="000000"/>
                <w:szCs w:val="21"/>
              </w:rPr>
              <w:t>（7）在线考试支持网页端考试、手机端考试、电脑客户端考试。电脑客户端需提供非公开下载软件客户端，并设置客户端有效期。</w:t>
            </w:r>
          </w:p>
          <w:p w14:paraId="013DAD92">
            <w:pPr>
              <w:spacing w:line="276" w:lineRule="auto"/>
              <w:rPr>
                <w:rFonts w:ascii="宋体" w:hAnsi="宋体" w:cs="宋体"/>
                <w:color w:val="000000"/>
                <w:szCs w:val="21"/>
              </w:rPr>
            </w:pPr>
            <w:r>
              <w:rPr>
                <w:rFonts w:hint="eastAsia" w:ascii="宋体" w:hAnsi="宋体" w:cs="宋体"/>
                <w:color w:val="000000"/>
                <w:szCs w:val="21"/>
              </w:rPr>
              <w:t>▲（8）移动端考试：支持学生通过人脸识别方可进入考试界面的功能，防止考试作弊。</w:t>
            </w:r>
          </w:p>
          <w:p w14:paraId="1EBE5781">
            <w:pPr>
              <w:spacing w:line="276" w:lineRule="auto"/>
              <w:rPr>
                <w:rFonts w:ascii="宋体" w:hAnsi="宋体" w:cs="宋体"/>
                <w:color w:val="000000"/>
                <w:szCs w:val="21"/>
              </w:rPr>
            </w:pPr>
            <w:r>
              <w:rPr>
                <w:rFonts w:hint="eastAsia" w:ascii="宋体" w:hAnsi="宋体" w:cs="宋体"/>
                <w:color w:val="000000"/>
                <w:szCs w:val="21"/>
              </w:rPr>
              <w:t>（9）考试过程中提供考试纪律监控相关技术支持，包括通过人像比对确保考生本人考试、通过摄像头抓拍实现过程监控、对学生切出考试页面进行提醒、题目及选项乱序等。</w:t>
            </w:r>
          </w:p>
          <w:p w14:paraId="569A2403">
            <w:pPr>
              <w:spacing w:line="276" w:lineRule="auto"/>
              <w:rPr>
                <w:rFonts w:ascii="宋体" w:hAnsi="宋体" w:cs="宋体"/>
                <w:color w:val="000000"/>
                <w:szCs w:val="21"/>
              </w:rPr>
            </w:pPr>
            <w:r>
              <w:rPr>
                <w:rFonts w:hint="eastAsia" w:ascii="宋体" w:hAnsi="宋体" w:cs="宋体"/>
                <w:color w:val="000000"/>
                <w:szCs w:val="21"/>
              </w:rPr>
              <w:t>▲（10）学生通过移动端进行在线课程的学习、作业、考试、讨论、答疑5种操作。</w:t>
            </w:r>
          </w:p>
          <w:p w14:paraId="704FF639">
            <w:pPr>
              <w:spacing w:line="276" w:lineRule="auto"/>
              <w:rPr>
                <w:rFonts w:ascii="宋体" w:hAnsi="宋体" w:cs="宋体"/>
                <w:color w:val="000000"/>
                <w:szCs w:val="21"/>
              </w:rPr>
            </w:pPr>
            <w:r>
              <w:rPr>
                <w:rFonts w:hint="eastAsia" w:ascii="宋体" w:hAnsi="宋体" w:cs="宋体"/>
                <w:color w:val="000000"/>
                <w:szCs w:val="21"/>
              </w:rPr>
              <w:t>（11）拓展阅读功能模块，允许教师对阅读资源进行自定义分类、自主添加或删除阅读资源。自主添加的阅读资源考核办法应与系统默认资源考核办法一致。</w:t>
            </w:r>
          </w:p>
          <w:p w14:paraId="442D8593">
            <w:pPr>
              <w:spacing w:line="276" w:lineRule="auto"/>
              <w:rPr>
                <w:rFonts w:ascii="宋体" w:hAnsi="宋体" w:cs="宋体"/>
                <w:color w:val="000000"/>
                <w:szCs w:val="21"/>
              </w:rPr>
            </w:pPr>
            <w:r>
              <w:rPr>
                <w:rFonts w:hint="eastAsia" w:ascii="宋体" w:hAnsi="宋体" w:cs="宋体"/>
                <w:color w:val="000000"/>
                <w:szCs w:val="21"/>
              </w:rPr>
              <w:t>（12）教师可在移动端有序的发布签到、问卷、选任、投票、直播、作业、考试分组任务、主题讨论、抢答、评分、随堂练习等教学活动，可实现互动内容课堂发放并复用。</w:t>
            </w:r>
          </w:p>
          <w:p w14:paraId="387CF6B3">
            <w:pPr>
              <w:spacing w:line="276" w:lineRule="auto"/>
              <w:rPr>
                <w:rFonts w:ascii="宋体" w:hAnsi="宋体" w:cs="宋体"/>
                <w:color w:val="000000"/>
                <w:szCs w:val="21"/>
              </w:rPr>
            </w:pPr>
            <w:r>
              <w:rPr>
                <w:rFonts w:hint="eastAsia" w:ascii="宋体" w:hAnsi="宋体" w:cs="宋体"/>
                <w:color w:val="000000"/>
                <w:szCs w:val="21"/>
              </w:rPr>
              <w:t>（13）开学教育支持以观看时长为维度考核学生观看情况，支持查看学生观看情况等相关学习数据。</w:t>
            </w:r>
          </w:p>
          <w:p w14:paraId="15270525">
            <w:pPr>
              <w:spacing w:line="276" w:lineRule="auto"/>
              <w:rPr>
                <w:rFonts w:ascii="宋体" w:hAnsi="宋体" w:cs="宋体"/>
                <w:color w:val="000000"/>
                <w:szCs w:val="21"/>
              </w:rPr>
            </w:pPr>
            <w:r>
              <w:rPr>
                <w:rFonts w:hint="eastAsia" w:ascii="宋体" w:hAnsi="宋体" w:cs="宋体"/>
                <w:color w:val="000000"/>
                <w:szCs w:val="21"/>
              </w:rPr>
              <w:t>（14）课程结束后，支持将班级、课程归档，归档后学生无法继续查看课程内容及数据。班级、课程归档后可随时恢复或彻底删除。</w:t>
            </w:r>
          </w:p>
          <w:p w14:paraId="4D5E6F15">
            <w:pPr>
              <w:spacing w:line="276" w:lineRule="auto"/>
              <w:rPr>
                <w:rFonts w:ascii="宋体" w:hAnsi="宋体" w:cs="宋体"/>
                <w:color w:val="000000"/>
                <w:szCs w:val="21"/>
              </w:rPr>
            </w:pPr>
            <w:r>
              <w:rPr>
                <w:rFonts w:hint="eastAsia" w:ascii="宋体" w:hAnsi="宋体" w:cs="宋体"/>
                <w:color w:val="000000"/>
                <w:szCs w:val="21"/>
              </w:rPr>
              <w:t>▲（15）教师可以在移动客户端选择给指定的人发送通知，并统计已读和未读名单，移动端支持发送督学提醒，如短信提醒、微信提醒、邮箱提醒3种提醒。</w:t>
            </w:r>
          </w:p>
          <w:p w14:paraId="43BB6C6A">
            <w:pPr>
              <w:spacing w:line="276" w:lineRule="auto"/>
              <w:rPr>
                <w:rFonts w:ascii="宋体" w:hAnsi="宋体" w:cs="宋体"/>
                <w:color w:val="000000"/>
                <w:szCs w:val="21"/>
              </w:rPr>
            </w:pPr>
            <w:r>
              <w:rPr>
                <w:rFonts w:hint="eastAsia" w:ascii="宋体" w:hAnsi="宋体" w:cs="宋体"/>
                <w:color w:val="000000"/>
                <w:szCs w:val="21"/>
              </w:rPr>
              <w:t>（16）支持学习笔记管理、编辑、分享，支持转发。</w:t>
            </w:r>
          </w:p>
          <w:p w14:paraId="69BAD48B">
            <w:pPr>
              <w:spacing w:line="276" w:lineRule="auto"/>
              <w:rPr>
                <w:rFonts w:ascii="宋体" w:hAnsi="宋体" w:cs="宋体"/>
                <w:color w:val="000000"/>
                <w:szCs w:val="21"/>
              </w:rPr>
            </w:pPr>
            <w:r>
              <w:rPr>
                <w:rFonts w:hint="eastAsia" w:ascii="宋体" w:hAnsi="宋体" w:cs="宋体"/>
                <w:color w:val="000000"/>
                <w:szCs w:val="21"/>
              </w:rPr>
              <w:t>▲（17）教师可以发布课堂签到，签到方式有：二维码方式、位置方式、手势方式、拍照方式4种方式进行签到。</w:t>
            </w:r>
          </w:p>
          <w:p w14:paraId="113F4674">
            <w:pPr>
              <w:spacing w:line="276" w:lineRule="auto"/>
              <w:rPr>
                <w:rFonts w:ascii="宋体" w:hAnsi="宋体" w:cs="宋体"/>
                <w:color w:val="000000"/>
                <w:szCs w:val="21"/>
              </w:rPr>
            </w:pPr>
            <w:r>
              <w:rPr>
                <w:rFonts w:hint="eastAsia" w:ascii="宋体" w:hAnsi="宋体" w:cs="宋体"/>
                <w:color w:val="000000"/>
                <w:szCs w:val="21"/>
              </w:rPr>
              <w:t>▲（18）教师可以对课程进行管理，在课程管理中对学生端进行设置，学生进入章节学习页面时开启人脸识别。支持手机端、电脑端摄像头进行人脸识别2种形式。</w:t>
            </w:r>
          </w:p>
          <w:p w14:paraId="01A70EE4">
            <w:pPr>
              <w:spacing w:line="276" w:lineRule="auto"/>
              <w:rPr>
                <w:rFonts w:ascii="宋体" w:hAnsi="宋体" w:cs="宋体"/>
                <w:color w:val="000000"/>
                <w:szCs w:val="21"/>
              </w:rPr>
            </w:pPr>
            <w:r>
              <w:rPr>
                <w:rFonts w:hint="eastAsia" w:ascii="宋体" w:hAnsi="宋体" w:cs="宋体"/>
                <w:color w:val="000000"/>
                <w:szCs w:val="21"/>
              </w:rPr>
              <w:t>▲（19）防刷课：学生学习在线课程时，平台支持监视频浏览时间的功能，以检测到学生是否有刷课行为。</w:t>
            </w:r>
          </w:p>
          <w:p w14:paraId="3E564EBA">
            <w:pPr>
              <w:spacing w:line="276" w:lineRule="auto"/>
              <w:rPr>
                <w:rFonts w:ascii="宋体" w:hAnsi="宋体" w:cs="宋体"/>
                <w:color w:val="000000"/>
                <w:szCs w:val="21"/>
              </w:rPr>
            </w:pPr>
            <w:r>
              <w:rPr>
                <w:rFonts w:hint="eastAsia" w:ascii="宋体" w:hAnsi="宋体" w:cs="宋体"/>
                <w:color w:val="000000"/>
                <w:szCs w:val="21"/>
              </w:rPr>
              <w:t>▲（20）防作弊：对于同一套作业，支持设置题目乱序、选项乱序、不允许查看答案3种功能，防止学生作弊。</w:t>
            </w:r>
          </w:p>
          <w:p w14:paraId="6FC194B6">
            <w:pPr>
              <w:spacing w:line="276" w:lineRule="auto"/>
              <w:rPr>
                <w:rFonts w:ascii="宋体" w:hAnsi="宋体" w:cs="宋体"/>
                <w:color w:val="000000"/>
                <w:szCs w:val="21"/>
              </w:rPr>
            </w:pPr>
            <w:r>
              <w:rPr>
                <w:rFonts w:hint="eastAsia" w:ascii="宋体" w:hAnsi="宋体" w:cs="宋体"/>
                <w:color w:val="000000"/>
                <w:szCs w:val="21"/>
              </w:rPr>
              <w:t>▲（21）在线监考：支持监考教师实时查看每位考生是否进入考试、进入时间、人脸识别情况、屏幕抓拍、摄像头抓拍5种功能。</w:t>
            </w:r>
          </w:p>
          <w:p w14:paraId="411D452B">
            <w:pPr>
              <w:spacing w:line="276" w:lineRule="auto"/>
              <w:rPr>
                <w:rFonts w:ascii="宋体" w:hAnsi="宋体" w:cs="宋体"/>
                <w:color w:val="000000"/>
                <w:szCs w:val="21"/>
              </w:rPr>
            </w:pPr>
            <w:r>
              <w:rPr>
                <w:rFonts w:hint="eastAsia" w:ascii="宋体" w:hAnsi="宋体" w:cs="宋体"/>
                <w:color w:val="000000"/>
                <w:szCs w:val="21"/>
              </w:rPr>
              <w:t>5.平台拓展功能要求</w:t>
            </w:r>
          </w:p>
          <w:p w14:paraId="286B6923">
            <w:pPr>
              <w:spacing w:line="276" w:lineRule="auto"/>
              <w:rPr>
                <w:rFonts w:ascii="宋体" w:hAnsi="宋体" w:cs="宋体"/>
                <w:color w:val="000000"/>
                <w:szCs w:val="21"/>
              </w:rPr>
            </w:pPr>
            <w:r>
              <w:rPr>
                <w:rFonts w:hint="eastAsia" w:ascii="宋体" w:hAnsi="宋体" w:cs="宋体"/>
                <w:color w:val="000000"/>
                <w:szCs w:val="21"/>
              </w:rPr>
              <w:t>（1）通识课程平台APP端需支持iOS</w:t>
            </w:r>
            <w:r>
              <w:rPr>
                <w:rFonts w:hint="eastAsia" w:ascii="宋体" w:hAnsi="宋体" w:cs="宋体"/>
                <w:color w:val="000000"/>
                <w:szCs w:val="21"/>
                <w:lang w:eastAsia="zh-CN"/>
              </w:rPr>
              <w:t>、</w:t>
            </w:r>
            <w:r>
              <w:rPr>
                <w:rFonts w:hint="eastAsia" w:ascii="宋体" w:hAnsi="宋体" w:cs="宋体"/>
                <w:color w:val="000000"/>
                <w:szCs w:val="21"/>
              </w:rPr>
              <w:t>安卓</w:t>
            </w:r>
            <w:r>
              <w:rPr>
                <w:rFonts w:hint="eastAsia" w:ascii="宋体" w:hAnsi="宋体" w:cs="宋体"/>
                <w:color w:val="000000"/>
                <w:szCs w:val="21"/>
                <w:lang w:eastAsia="zh-CN"/>
              </w:rPr>
              <w:t>、</w:t>
            </w:r>
            <w:r>
              <w:rPr>
                <w:rFonts w:hint="eastAsia" w:ascii="宋体" w:hAnsi="宋体" w:cs="宋体"/>
                <w:color w:val="000000"/>
                <w:szCs w:val="21"/>
                <w:lang w:val="en-US" w:eastAsia="zh-CN"/>
              </w:rPr>
              <w:t>鸿蒙系统</w:t>
            </w:r>
            <w:r>
              <w:rPr>
                <w:rFonts w:hint="eastAsia" w:ascii="宋体" w:hAnsi="宋体" w:cs="宋体"/>
                <w:color w:val="000000"/>
                <w:szCs w:val="21"/>
              </w:rPr>
              <w:t>，实现在线移动教学功能。移动端与PC端学习进度、学习数据、教学管控功能保持一致，教师可以对课程和学生进行统一管理。</w:t>
            </w:r>
          </w:p>
          <w:p w14:paraId="2443A258">
            <w:pPr>
              <w:spacing w:line="276" w:lineRule="auto"/>
              <w:rPr>
                <w:rFonts w:ascii="宋体" w:hAnsi="宋体" w:cs="宋体"/>
                <w:color w:val="000000"/>
                <w:szCs w:val="21"/>
              </w:rPr>
            </w:pPr>
            <w:r>
              <w:rPr>
                <w:rFonts w:hint="eastAsia" w:ascii="宋体" w:hAnsi="宋体" w:cs="宋体"/>
                <w:color w:val="000000"/>
                <w:szCs w:val="21"/>
              </w:rPr>
              <w:t>（2）教师可发布通知，并实时推送到学生的各个终端；系统自动反馈通知阅读情况，教师可在线查看。学生可在收件箱中查看所有通知。</w:t>
            </w:r>
          </w:p>
          <w:p w14:paraId="27590E8A">
            <w:pPr>
              <w:spacing w:line="276" w:lineRule="auto"/>
              <w:rPr>
                <w:rFonts w:ascii="宋体" w:hAnsi="宋体" w:cs="宋体"/>
                <w:color w:val="000000"/>
                <w:szCs w:val="21"/>
              </w:rPr>
            </w:pPr>
            <w:r>
              <w:rPr>
                <w:rFonts w:hint="eastAsia" w:ascii="宋体" w:hAnsi="宋体" w:cs="宋体"/>
                <w:color w:val="000000"/>
                <w:szCs w:val="21"/>
              </w:rPr>
              <w:t>四、人员服务支持</w:t>
            </w:r>
          </w:p>
          <w:p w14:paraId="10253F21">
            <w:pPr>
              <w:spacing w:line="276" w:lineRule="auto"/>
              <w:rPr>
                <w:rFonts w:ascii="宋体" w:hAnsi="宋体" w:cs="宋体"/>
                <w:color w:val="000000"/>
                <w:szCs w:val="21"/>
              </w:rPr>
            </w:pPr>
            <w:r>
              <w:rPr>
                <w:rFonts w:hint="eastAsia" w:ascii="宋体" w:hAnsi="宋体" w:cs="宋体"/>
                <w:color w:val="000000"/>
                <w:szCs w:val="21"/>
              </w:rPr>
              <w:t>1.报价人提供教学和教务全程服务，包括开课/结课的所有对接服务，学生信息、学习成绩及学分的导入/导出等。</w:t>
            </w:r>
          </w:p>
          <w:p w14:paraId="2141216A">
            <w:pPr>
              <w:spacing w:line="276" w:lineRule="auto"/>
              <w:rPr>
                <w:rFonts w:ascii="宋体" w:hAnsi="宋体" w:cs="宋体"/>
                <w:color w:val="000000"/>
                <w:szCs w:val="21"/>
              </w:rPr>
            </w:pPr>
            <w:r>
              <w:rPr>
                <w:rFonts w:hint="eastAsia" w:ascii="宋体" w:hAnsi="宋体" w:cs="宋体"/>
                <w:color w:val="000000"/>
                <w:szCs w:val="21"/>
              </w:rPr>
              <w:t>2.结课后免费提供针对采购人的课程运行报告，报告包含数据展示及数据分析，能够展示数据对应含义。</w:t>
            </w:r>
          </w:p>
          <w:p w14:paraId="220C59A0">
            <w:pPr>
              <w:spacing w:line="276" w:lineRule="auto"/>
              <w:rPr>
                <w:rFonts w:ascii="宋体" w:hAnsi="宋体" w:cs="宋体"/>
                <w:color w:val="000000"/>
                <w:szCs w:val="21"/>
              </w:rPr>
            </w:pPr>
            <w:r>
              <w:rPr>
                <w:rFonts w:hint="eastAsia" w:ascii="宋体" w:hAnsi="宋体" w:cs="宋体"/>
                <w:color w:val="000000"/>
                <w:szCs w:val="21"/>
              </w:rPr>
              <w:t>3.提供在线客服、电话客服解决师生使用问题；学生学习的导学、督学服务。</w:t>
            </w:r>
          </w:p>
          <w:p w14:paraId="6D4CF4D4">
            <w:r>
              <w:rPr>
                <w:rFonts w:hint="eastAsia" w:ascii="宋体" w:hAnsi="宋体" w:cs="宋体"/>
                <w:color w:val="000000"/>
                <w:szCs w:val="21"/>
              </w:rPr>
              <w:t>4.每学年上门培训服务≥2次，由采购人指定时间、地点、规模；免费提供操作手册、常见问题列表和操作视频等参考资料。</w:t>
            </w:r>
          </w:p>
          <w:p w14:paraId="50883AA0">
            <w:pPr>
              <w:pStyle w:val="7"/>
              <w:rPr>
                <w:rFonts w:cs="Times New Roman"/>
                <w:sz w:val="24"/>
                <w:szCs w:val="24"/>
              </w:rPr>
            </w:pPr>
          </w:p>
        </w:tc>
        <w:tc>
          <w:tcPr>
            <w:tcW w:w="375" w:type="dxa"/>
            <w:shd w:val="clear" w:color="auto" w:fill="auto"/>
            <w:noWrap/>
          </w:tcPr>
          <w:p w14:paraId="44E9C872">
            <w:pPr>
              <w:widowControl/>
              <w:rPr>
                <w:rFonts w:hint="eastAsia" w:ascii="Arial" w:hAnsi="Arial" w:cs="Arial" w:eastAsiaTheme="minorEastAsia"/>
                <w:kern w:val="0"/>
                <w:szCs w:val="21"/>
                <w:lang w:eastAsia="zh-CN"/>
              </w:rPr>
            </w:pPr>
            <w:r>
              <w:rPr>
                <w:rFonts w:hint="eastAsia" w:ascii="Arial" w:hAnsi="Arial" w:cs="Arial"/>
                <w:kern w:val="0"/>
                <w:szCs w:val="21"/>
                <w:lang w:val="en-US" w:eastAsia="zh-CN"/>
              </w:rPr>
              <w:t>1</w:t>
            </w:r>
          </w:p>
        </w:tc>
        <w:tc>
          <w:tcPr>
            <w:tcW w:w="465" w:type="dxa"/>
            <w:shd w:val="clear" w:color="auto" w:fill="auto"/>
            <w:noWrap/>
          </w:tcPr>
          <w:p w14:paraId="5C592F20">
            <w:pPr>
              <w:widowControl/>
              <w:rPr>
                <w:rFonts w:hint="eastAsia" w:ascii="Arial" w:hAnsi="Arial" w:cs="Arial" w:eastAsiaTheme="minorEastAsia"/>
                <w:kern w:val="0"/>
                <w:szCs w:val="21"/>
                <w:lang w:eastAsia="zh-CN"/>
              </w:rPr>
            </w:pPr>
            <w:r>
              <w:rPr>
                <w:rFonts w:hint="eastAsia" w:ascii="Arial" w:hAnsi="Arial" w:cs="Arial"/>
                <w:kern w:val="0"/>
                <w:szCs w:val="21"/>
                <w:lang w:val="en-US" w:eastAsia="zh-CN"/>
              </w:rPr>
              <w:t>项</w:t>
            </w:r>
          </w:p>
        </w:tc>
      </w:tr>
      <w:tr w14:paraId="6177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21" w:type="dxa"/>
            <w:gridSpan w:val="2"/>
            <w:vAlign w:val="center"/>
          </w:tcPr>
          <w:p w14:paraId="347AD8F7">
            <w:pPr>
              <w:widowControl/>
              <w:jc w:val="center"/>
              <w:rPr>
                <w:rFonts w:ascii="Arial" w:hAnsi="Arial" w:cs="Arial"/>
                <w:color w:val="FF0000"/>
                <w:kern w:val="0"/>
                <w:szCs w:val="21"/>
              </w:rPr>
            </w:pPr>
            <w:r>
              <w:rPr>
                <w:rFonts w:ascii="Arial" w:hAnsi="Arial" w:cs="Arial"/>
                <w:color w:val="auto"/>
                <w:kern w:val="0"/>
                <w:szCs w:val="21"/>
              </w:rPr>
              <w:t>商务要求</w:t>
            </w:r>
          </w:p>
        </w:tc>
        <w:tc>
          <w:tcPr>
            <w:tcW w:w="8803" w:type="dxa"/>
            <w:gridSpan w:val="3"/>
            <w:shd w:val="clear" w:color="auto" w:fill="auto"/>
            <w:noWrap/>
          </w:tcPr>
          <w:p w14:paraId="7E6400FC">
            <w:pPr>
              <w:spacing w:line="360" w:lineRule="auto"/>
              <w:jc w:val="left"/>
              <w:rPr>
                <w:rFonts w:cs="Times New Roman"/>
                <w:sz w:val="21"/>
                <w:szCs w:val="21"/>
              </w:rPr>
            </w:pPr>
            <w:r>
              <w:rPr>
                <w:rFonts w:hint="eastAsia" w:cs="Times New Roman"/>
                <w:sz w:val="24"/>
                <w:szCs w:val="24"/>
              </w:rPr>
              <w:t>1</w:t>
            </w:r>
            <w:r>
              <w:rPr>
                <w:rFonts w:hint="eastAsia" w:cs="Times New Roman"/>
                <w:sz w:val="21"/>
                <w:szCs w:val="21"/>
              </w:rPr>
              <w:t>.服务交付时间：签订合同之日起</w:t>
            </w:r>
            <w:r>
              <w:rPr>
                <w:rFonts w:hint="eastAsia" w:cs="Times New Roman"/>
                <w:sz w:val="21"/>
                <w:szCs w:val="21"/>
                <w:lang w:val="en-US" w:eastAsia="zh-CN"/>
              </w:rPr>
              <w:t>90日</w:t>
            </w:r>
            <w:r>
              <w:rPr>
                <w:rFonts w:hint="eastAsia" w:cs="Times New Roman"/>
                <w:sz w:val="21"/>
                <w:szCs w:val="21"/>
              </w:rPr>
              <w:t>验收合格并交付所有服务内容。</w:t>
            </w:r>
          </w:p>
          <w:p w14:paraId="642AE9C7">
            <w:pPr>
              <w:spacing w:line="360" w:lineRule="auto"/>
              <w:jc w:val="left"/>
              <w:rPr>
                <w:rFonts w:hint="eastAsia" w:cs="Times New Roman"/>
                <w:sz w:val="21"/>
                <w:szCs w:val="21"/>
              </w:rPr>
            </w:pPr>
            <w:r>
              <w:rPr>
                <w:rFonts w:hint="eastAsia" w:cs="Times New Roman"/>
                <w:sz w:val="21"/>
                <w:szCs w:val="21"/>
              </w:rPr>
              <w:t>服务期：自整体服务内容验收合格并交付使用之日起</w:t>
            </w:r>
            <w:r>
              <w:rPr>
                <w:rFonts w:hint="eastAsia"/>
                <w:sz w:val="21"/>
                <w:szCs w:val="21"/>
              </w:rPr>
              <w:t>提供</w:t>
            </w:r>
            <w:r>
              <w:rPr>
                <w:rFonts w:hint="eastAsia"/>
                <w:sz w:val="21"/>
                <w:szCs w:val="21"/>
                <w:lang w:val="en-US" w:eastAsia="zh-CN"/>
              </w:rPr>
              <w:t>1年</w:t>
            </w:r>
            <w:r>
              <w:rPr>
                <w:rFonts w:hint="eastAsia"/>
                <w:sz w:val="21"/>
                <w:szCs w:val="21"/>
              </w:rPr>
              <w:t>的使用权限和服务支持</w:t>
            </w:r>
            <w:r>
              <w:rPr>
                <w:rFonts w:hint="eastAsia" w:cs="Times New Roman"/>
                <w:sz w:val="21"/>
                <w:szCs w:val="21"/>
              </w:rPr>
              <w:t>。</w:t>
            </w:r>
          </w:p>
          <w:p w14:paraId="7701A782">
            <w:pPr>
              <w:spacing w:line="360" w:lineRule="auto"/>
              <w:jc w:val="left"/>
              <w:rPr>
                <w:rFonts w:cs="Times New Roman"/>
                <w:sz w:val="21"/>
                <w:szCs w:val="21"/>
              </w:rPr>
            </w:pPr>
            <w:r>
              <w:rPr>
                <w:rFonts w:hint="eastAsia" w:cs="Times New Roman"/>
                <w:sz w:val="21"/>
                <w:szCs w:val="21"/>
              </w:rPr>
              <w:t xml:space="preserve">质保期：自整体服务内容验收合格并交付使用之日起 </w:t>
            </w:r>
            <w:r>
              <w:rPr>
                <w:rFonts w:hint="eastAsia" w:cs="Times New Roman"/>
                <w:sz w:val="21"/>
                <w:szCs w:val="21"/>
                <w:lang w:val="en-US" w:eastAsia="zh-CN"/>
              </w:rPr>
              <w:t>1年</w:t>
            </w:r>
            <w:r>
              <w:rPr>
                <w:rFonts w:hint="eastAsia" w:cs="Times New Roman"/>
                <w:sz w:val="21"/>
                <w:szCs w:val="21"/>
              </w:rPr>
              <w:t xml:space="preserve">。 </w:t>
            </w:r>
          </w:p>
          <w:p w14:paraId="43FEADC6">
            <w:pPr>
              <w:pStyle w:val="7"/>
              <w:rPr>
                <w:rFonts w:cs="Times New Roman"/>
                <w:sz w:val="21"/>
                <w:szCs w:val="21"/>
              </w:rPr>
            </w:pPr>
            <w:r>
              <w:rPr>
                <w:rFonts w:hint="eastAsia" w:cs="Times New Roman"/>
                <w:sz w:val="21"/>
                <w:szCs w:val="21"/>
              </w:rPr>
              <w:t>2.报价人免费为采购人提供以下技术支持和服务：</w:t>
            </w:r>
          </w:p>
          <w:p w14:paraId="2AF6C4FA">
            <w:pPr>
              <w:pStyle w:val="7"/>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4073F8BC">
            <w:pPr>
              <w:pStyle w:val="7"/>
              <w:rPr>
                <w:rFonts w:cs="Times New Roman"/>
                <w:sz w:val="21"/>
                <w:szCs w:val="21"/>
              </w:rPr>
            </w:pPr>
            <w:r>
              <w:rPr>
                <w:rFonts w:hint="eastAsia" w:cs="Times New Roman"/>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1A9ABD5A">
            <w:pPr>
              <w:pStyle w:val="7"/>
              <w:rPr>
                <w:rFonts w:cs="Times New Roman"/>
                <w:sz w:val="21"/>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质保期内报价人应免费为采购人提供平台功能升级及维护服务。</w:t>
            </w:r>
          </w:p>
          <w:p w14:paraId="4237C240">
            <w:pPr>
              <w:pStyle w:val="7"/>
              <w:rPr>
                <w:rFonts w:hint="eastAsia" w:cs="Times New Roman"/>
                <w:sz w:val="21"/>
                <w:szCs w:val="21"/>
                <w:lang w:val="en-US" w:eastAsia="zh-CN"/>
              </w:rPr>
            </w:pPr>
            <w:r>
              <w:rPr>
                <w:rFonts w:hint="eastAsia" w:cs="Times New Roman"/>
                <w:sz w:val="21"/>
                <w:szCs w:val="21"/>
                <w:lang w:val="en-US" w:eastAsia="zh-CN"/>
              </w:rPr>
              <w:t>3</w:t>
            </w:r>
            <w:r>
              <w:rPr>
                <w:rFonts w:hint="eastAsia" w:cs="Times New Roman"/>
                <w:sz w:val="21"/>
                <w:szCs w:val="21"/>
              </w:rPr>
              <w:t>.</w:t>
            </w:r>
            <w:r>
              <w:rPr>
                <w:rFonts w:hint="eastAsia" w:cs="Times New Roman"/>
                <w:sz w:val="21"/>
                <w:szCs w:val="21"/>
                <w:lang w:val="en-US" w:eastAsia="zh-CN"/>
              </w:rPr>
              <w:t>知识产权</w:t>
            </w:r>
          </w:p>
          <w:p w14:paraId="32A0C98A">
            <w:pPr>
              <w:spacing w:line="276" w:lineRule="auto"/>
              <w:rPr>
                <w:rFonts w:ascii="宋体" w:hAnsi="宋体" w:cs="宋体"/>
                <w:color w:val="000000"/>
                <w:szCs w:val="21"/>
                <w:highlight w:val="none"/>
              </w:rPr>
            </w:pPr>
            <w:r>
              <w:rPr>
                <w:rFonts w:hint="eastAsia" w:ascii="宋体" w:hAnsi="宋体" w:cs="宋体"/>
                <w:color w:val="000000"/>
                <w:szCs w:val="21"/>
                <w:highlight w:val="none"/>
              </w:rPr>
              <w:t>报价方保证所提供的资料（仅包含视频素材、图片素材、字体使用版权、配乐使用版权、AE特效包装使用版权）在使用时不会侵犯任何第三方的、专利权、商标权、设计权或其他权利。如侵犯了第三方合法权益而引发的任何纠纷或诉讼，均由报价人负责交涉并承担全部责任。</w:t>
            </w:r>
          </w:p>
          <w:p w14:paraId="2C6B6F6D">
            <w:pPr>
              <w:pStyle w:val="7"/>
              <w:rPr>
                <w:rFonts w:hint="eastAsia" w:cs="Times New Roman"/>
                <w:sz w:val="21"/>
                <w:szCs w:val="21"/>
              </w:rPr>
            </w:pPr>
          </w:p>
          <w:p w14:paraId="6E472424">
            <w:pPr>
              <w:widowControl/>
              <w:adjustRightInd w:val="0"/>
              <w:snapToGrid w:val="0"/>
              <w:spacing w:line="520" w:lineRule="exact"/>
              <w:jc w:val="left"/>
              <w:rPr>
                <w:rFonts w:hint="eastAsia" w:cs="Arial" w:asciiTheme="majorEastAsia" w:hAnsiTheme="majorEastAsia" w:eastAsiaTheme="majorEastAsia"/>
                <w:kern w:val="0"/>
                <w:sz w:val="21"/>
                <w:szCs w:val="21"/>
              </w:rPr>
            </w:pPr>
            <w:r>
              <w:rPr>
                <w:rFonts w:hint="eastAsia" w:ascii="Arial" w:hAnsi="Arial" w:eastAsia="宋体" w:cs="Arial"/>
                <w:kern w:val="0"/>
                <w:sz w:val="21"/>
                <w:szCs w:val="21"/>
                <w:lang w:val="en-US" w:eastAsia="zh-CN"/>
              </w:rPr>
              <w:t>4</w:t>
            </w:r>
            <w:r>
              <w:rPr>
                <w:rFonts w:ascii="Arial" w:hAnsi="Arial" w:eastAsia="宋体" w:cs="Arial"/>
                <w:kern w:val="0"/>
                <w:sz w:val="21"/>
                <w:szCs w:val="21"/>
              </w:rPr>
              <w:t>.付款：本项目无预付款，合同中所有货物全部安装调试完毕验收合格交付给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lang w:val="en-US" w:eastAsia="zh-CN"/>
              </w:rPr>
              <w:t>30</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w:t>
            </w:r>
            <w:r>
              <w:rPr>
                <w:rFonts w:hint="eastAsia" w:ascii="Arial" w:hAnsi="Arial" w:eastAsia="宋体" w:cs="Arial"/>
                <w:kern w:val="0"/>
                <w:sz w:val="21"/>
                <w:szCs w:val="21"/>
              </w:rPr>
              <w:t>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D6BD8A9">
            <w:pPr>
              <w:widowControl/>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lang w:val="en-US" w:eastAsia="zh-CN"/>
              </w:rPr>
              <w:t>5</w:t>
            </w:r>
            <w:r>
              <w:rPr>
                <w:rFonts w:hint="eastAsia" w:ascii="Arial" w:hAnsi="Arial" w:eastAsia="宋体" w:cs="Arial"/>
                <w:kern w:val="0"/>
                <w:sz w:val="21"/>
                <w:szCs w:val="21"/>
              </w:rPr>
              <w:t>.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6D2B0F7A">
            <w:pPr>
              <w:widowControl/>
              <w:spacing w:line="480" w:lineRule="auto"/>
              <w:rPr>
                <w:rFonts w:ascii="Arial" w:hAnsi="Arial" w:eastAsia="宋体" w:cs="Arial"/>
                <w:b/>
                <w:kern w:val="0"/>
                <w:sz w:val="21"/>
                <w:szCs w:val="21"/>
              </w:rPr>
            </w:pPr>
            <w:r>
              <w:rPr>
                <w:rFonts w:hint="eastAsia" w:ascii="Arial" w:hAnsi="Arial" w:eastAsia="宋体" w:cs="Arial"/>
                <w:b/>
                <w:kern w:val="0"/>
                <w:sz w:val="21"/>
                <w:szCs w:val="21"/>
              </w:rPr>
              <w:t>履约保证金账户：</w:t>
            </w:r>
          </w:p>
          <w:p w14:paraId="7DD8790E">
            <w:pPr>
              <w:pStyle w:val="7"/>
              <w:spacing w:line="360" w:lineRule="auto"/>
              <w:rPr>
                <w:rFonts w:ascii="Arial" w:hAnsi="Arial" w:eastAsia="宋体" w:cs="Arial"/>
                <w:b/>
                <w:kern w:val="0"/>
                <w:sz w:val="21"/>
                <w:szCs w:val="21"/>
              </w:rPr>
            </w:pPr>
            <w:r>
              <w:rPr>
                <w:rFonts w:hint="eastAsia" w:ascii="Arial" w:hAnsi="Arial" w:eastAsia="宋体" w:cs="Arial"/>
                <w:b/>
                <w:kern w:val="0"/>
                <w:sz w:val="21"/>
                <w:szCs w:val="21"/>
              </w:rPr>
              <w:t>名  称：柳州职业技术大学</w:t>
            </w:r>
          </w:p>
          <w:p w14:paraId="6D72A813">
            <w:pPr>
              <w:pStyle w:val="7"/>
              <w:spacing w:line="360" w:lineRule="auto"/>
              <w:rPr>
                <w:rFonts w:ascii="Arial" w:hAnsi="Arial" w:eastAsia="宋体" w:cs="Arial"/>
                <w:b/>
                <w:kern w:val="0"/>
                <w:sz w:val="21"/>
                <w:szCs w:val="21"/>
              </w:rPr>
            </w:pPr>
            <w:r>
              <w:rPr>
                <w:rFonts w:hint="eastAsia" w:ascii="Arial" w:hAnsi="Arial" w:eastAsia="宋体" w:cs="Arial"/>
                <w:b/>
                <w:kern w:val="0"/>
                <w:sz w:val="21"/>
                <w:szCs w:val="21"/>
              </w:rPr>
              <w:t>开户行：交通银行西江支行</w:t>
            </w:r>
          </w:p>
          <w:p w14:paraId="66EF5A14">
            <w:pPr>
              <w:pStyle w:val="7"/>
              <w:spacing w:line="360" w:lineRule="auto"/>
              <w:rPr>
                <w:rFonts w:ascii="Arial" w:hAnsi="Arial" w:eastAsia="宋体" w:cs="Arial"/>
                <w:b/>
                <w:kern w:val="0"/>
                <w:sz w:val="21"/>
                <w:szCs w:val="21"/>
              </w:rPr>
            </w:pPr>
            <w:r>
              <w:rPr>
                <w:rFonts w:hint="eastAsia" w:ascii="Arial" w:hAnsi="Arial" w:eastAsia="宋体" w:cs="Arial"/>
                <w:b/>
                <w:kern w:val="0"/>
                <w:sz w:val="21"/>
                <w:szCs w:val="21"/>
              </w:rPr>
              <w:t>账  号：</w:t>
            </w:r>
            <w:r>
              <w:rPr>
                <w:rFonts w:ascii="Arial" w:hAnsi="Arial" w:eastAsia="宋体" w:cs="Arial"/>
                <w:b/>
                <w:kern w:val="0"/>
                <w:sz w:val="21"/>
                <w:szCs w:val="21"/>
              </w:rPr>
              <w:t>452060600018120020185</w:t>
            </w:r>
          </w:p>
          <w:p w14:paraId="772D6715">
            <w:pPr>
              <w:pStyle w:val="7"/>
              <w:spacing w:line="360" w:lineRule="auto"/>
              <w:rPr>
                <w:rFonts w:ascii="Arial" w:hAnsi="Arial" w:eastAsia="宋体" w:cs="Arial"/>
                <w:b/>
                <w:kern w:val="0"/>
                <w:sz w:val="21"/>
                <w:szCs w:val="21"/>
              </w:rPr>
            </w:pPr>
            <w:r>
              <w:rPr>
                <w:rFonts w:hint="eastAsia" w:ascii="Arial" w:hAnsi="Arial" w:eastAsia="宋体" w:cs="Arial"/>
                <w:b/>
                <w:kern w:val="0"/>
                <w:sz w:val="21"/>
                <w:szCs w:val="21"/>
              </w:rPr>
              <w:t>转账时注明：2025年度通识网络课程服务采购项目，采购编号</w:t>
            </w:r>
            <w:r>
              <w:rPr>
                <w:rFonts w:hint="eastAsia" w:ascii="Arial" w:hAnsi="Arial" w:eastAsia="宋体" w:cs="Arial"/>
                <w:b/>
                <w:color w:val="auto"/>
                <w:kern w:val="0"/>
                <w:sz w:val="21"/>
                <w:szCs w:val="21"/>
                <w:lang w:val="en-US" w:eastAsia="zh-CN"/>
              </w:rPr>
              <w:t>LZPU2025-8</w:t>
            </w:r>
            <w:r>
              <w:rPr>
                <w:rFonts w:hint="eastAsia" w:ascii="Arial" w:hAnsi="Arial" w:eastAsia="宋体" w:cs="Arial"/>
                <w:b/>
                <w:color w:val="auto"/>
                <w:kern w:val="0"/>
                <w:sz w:val="21"/>
                <w:szCs w:val="21"/>
              </w:rPr>
              <w:t xml:space="preserve"> </w:t>
            </w:r>
            <w:r>
              <w:rPr>
                <w:rFonts w:hint="eastAsia" w:ascii="Arial" w:hAnsi="Arial" w:eastAsia="宋体" w:cs="Arial"/>
                <w:b/>
                <w:kern w:val="0"/>
                <w:sz w:val="21"/>
                <w:szCs w:val="21"/>
              </w:rPr>
              <w:t>履约保证金</w:t>
            </w:r>
          </w:p>
          <w:p w14:paraId="575F01B3">
            <w:pPr>
              <w:widowControl/>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2A7A5D">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lang w:val="en-US" w:eastAsia="zh-CN"/>
              </w:rPr>
              <w:t>6</w:t>
            </w:r>
            <w:r>
              <w:rPr>
                <w:rFonts w:ascii="Arial" w:hAnsi="Arial" w:eastAsia="宋体" w:cs="Arial"/>
                <w:kern w:val="0"/>
                <w:sz w:val="21"/>
                <w:szCs w:val="21"/>
              </w:rPr>
              <w:t xml:space="preserve">. </w:t>
            </w:r>
            <w:r>
              <w:rPr>
                <w:rFonts w:hint="eastAsia" w:cs="Times New Roman"/>
                <w:sz w:val="21"/>
                <w:szCs w:val="21"/>
              </w:rPr>
              <w:t>验收要求</w:t>
            </w:r>
          </w:p>
          <w:p w14:paraId="5A76A473">
            <w:pPr>
              <w:pStyle w:val="7"/>
              <w:rPr>
                <w:rFonts w:hint="eastAsia" w:cs="Times New Roman"/>
                <w:sz w:val="21"/>
                <w:szCs w:val="21"/>
              </w:rPr>
            </w:pPr>
            <w:r>
              <w:rPr>
                <w:rFonts w:hint="eastAsia" w:cs="Times New Roman"/>
                <w:sz w:val="21"/>
                <w:szCs w:val="21"/>
              </w:rPr>
              <w:t>（1）项目所提供的全部货物（含硬件、软件及服务）必须完全满足采购文件所述要求（除允许偏离项），如成交供应商在响应文件中有承诺正偏离的应按其正偏离内容执行。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0847AB38">
            <w:pPr>
              <w:pStyle w:val="7"/>
              <w:rPr>
                <w:rFonts w:hint="eastAsia" w:cs="Times New Roman"/>
                <w:sz w:val="21"/>
                <w:szCs w:val="21"/>
              </w:rPr>
            </w:pPr>
            <w:r>
              <w:rPr>
                <w:rFonts w:hint="eastAsia" w:cs="Times New Roman"/>
                <w:sz w:val="21"/>
                <w:szCs w:val="21"/>
              </w:rPr>
              <w:t>（2）中标供应商须确保货物为原制造商制造（或原厂组装）的全新产品，无侵权行为、表面无划损、无任何缺陷隐患，在中国境内可依常规安全合法使用。</w:t>
            </w:r>
          </w:p>
          <w:p w14:paraId="5FC7446A">
            <w:pPr>
              <w:pStyle w:val="7"/>
              <w:rPr>
                <w:rFonts w:hint="eastAsia" w:cs="Times New Roman"/>
                <w:sz w:val="21"/>
                <w:szCs w:val="21"/>
              </w:rPr>
            </w:pPr>
            <w:r>
              <w:rPr>
                <w:rFonts w:hint="eastAsia" w:cs="Times New Roman"/>
                <w:sz w:val="21"/>
                <w:szCs w:val="21"/>
              </w:rPr>
              <w:t>（3）供货时中标供应商应将关键货物的用户手册、保修手册、有关单证资料及配备件等交付给采购人，使用操作及安全须知等重要资料应附有中文说明。</w:t>
            </w:r>
          </w:p>
          <w:p w14:paraId="7472ABD6">
            <w:pPr>
              <w:pStyle w:val="7"/>
              <w:rPr>
                <w:rFonts w:hint="eastAsia" w:cs="Times New Roman"/>
                <w:sz w:val="21"/>
                <w:szCs w:val="21"/>
              </w:rPr>
            </w:pPr>
            <w:r>
              <w:rPr>
                <w:rFonts w:hint="eastAsia" w:cs="Times New Roman"/>
                <w:sz w:val="21"/>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36886691">
            <w:pPr>
              <w:spacing w:line="240" w:lineRule="auto"/>
              <w:jc w:val="left"/>
              <w:rPr>
                <w:rFonts w:hint="eastAsia" w:cs="Times New Roman"/>
                <w:sz w:val="21"/>
                <w:szCs w:val="21"/>
              </w:rPr>
            </w:pPr>
            <w:r>
              <w:rPr>
                <w:rFonts w:hint="eastAsia" w:cs="Times New Roman"/>
                <w:sz w:val="21"/>
                <w:szCs w:val="21"/>
              </w:rPr>
              <w:t>（5）</w:t>
            </w:r>
            <w:r>
              <w:rPr>
                <w:rFonts w:hint="eastAsia" w:cs="Times New Roman" w:asciiTheme="minorHAnsi" w:hAnsiTheme="minorHAnsi" w:eastAsiaTheme="minorEastAsia"/>
                <w:kern w:val="2"/>
                <w:sz w:val="21"/>
                <w:szCs w:val="21"/>
                <w:lang w:val="en-US" w:eastAsia="zh-CN" w:bidi="ar-SA"/>
              </w:rPr>
              <w:t>中标供应商依照采购文件的要求和应标文件的承诺完成安装调试后，采购人可以进行累计运行时间不超过72小时的试运行，以确认所供货物（含硬件、软件及服务）功能参数、兼容性及稳定性符合标准达到初验条件，在试运行期间出现问题报价人应在接到采购人书面反馈后三日内解决，在解决问题前此项目仍视为尚未完成安装调试。中标供应商对标▲功能进行演示并完成采购人的人员培训</w:t>
            </w:r>
            <w:r>
              <w:rPr>
                <w:rFonts w:hint="eastAsia" w:cs="Times New Roman"/>
                <w:kern w:val="2"/>
                <w:sz w:val="21"/>
                <w:szCs w:val="21"/>
                <w:lang w:val="en-US" w:eastAsia="zh-CN" w:bidi="ar-SA"/>
              </w:rPr>
              <w:t>后</w:t>
            </w:r>
            <w:r>
              <w:rPr>
                <w:rFonts w:hint="eastAsia" w:cs="Times New Roman" w:asciiTheme="minorHAnsi" w:hAnsiTheme="minorHAnsi" w:eastAsiaTheme="minorEastAsia"/>
                <w:kern w:val="2"/>
                <w:sz w:val="21"/>
                <w:szCs w:val="21"/>
                <w:lang w:val="en-US" w:eastAsia="zh-CN" w:bidi="ar-SA"/>
              </w:rPr>
              <w:t>方可申请采购人正式验收。如造成最终验收合格交付时间超过合同约定的按合同相关条款执行。</w:t>
            </w:r>
          </w:p>
          <w:p w14:paraId="54B33058">
            <w:pPr>
              <w:pStyle w:val="7"/>
              <w:spacing w:line="240" w:lineRule="auto"/>
              <w:rPr>
                <w:rFonts w:hint="eastAsia" w:cs="Times New Roman" w:asciiTheme="minorHAnsi" w:hAnsiTheme="minorHAnsi" w:eastAsiaTheme="minorEastAsia"/>
                <w:kern w:val="2"/>
                <w:sz w:val="21"/>
                <w:szCs w:val="21"/>
                <w:lang w:val="en-US" w:eastAsia="zh-CN" w:bidi="ar-SA"/>
              </w:rPr>
            </w:pPr>
            <w:r>
              <w:rPr>
                <w:rFonts w:hint="eastAsia" w:cs="Times New Roman"/>
                <w:sz w:val="21"/>
                <w:szCs w:val="21"/>
              </w:rPr>
              <w:t>（6）</w:t>
            </w:r>
            <w:r>
              <w:rPr>
                <w:rFonts w:hint="eastAsia" w:cs="Times New Roman" w:asciiTheme="minorHAnsi" w:hAnsiTheme="minorHAnsi" w:eastAsiaTheme="minorEastAsia"/>
                <w:kern w:val="2"/>
                <w:sz w:val="21"/>
                <w:szCs w:val="21"/>
                <w:lang w:val="en-US" w:eastAsia="zh-CN" w:bidi="ar-SA"/>
              </w:rPr>
              <w:t>采购人有权委托第三方进行履约验收，履约验收费用（含运行耗材、验收专家费等全部费用）由中标供应商支付。报价人在报价时自行考虑。</w:t>
            </w:r>
          </w:p>
          <w:p w14:paraId="26D44A93">
            <w:pPr>
              <w:pStyle w:val="7"/>
              <w:spacing w:line="240" w:lineRule="auto"/>
              <w:rPr>
                <w:rFonts w:hint="eastAsia" w:cs="Times New Roman" w:asciiTheme="minorHAnsi" w:hAnsiTheme="minorHAnsi" w:eastAsiaTheme="minorEastAsia"/>
                <w:kern w:val="2"/>
                <w:sz w:val="21"/>
                <w:szCs w:val="21"/>
                <w:lang w:val="en-US" w:eastAsia="zh-CN" w:bidi="ar-SA"/>
              </w:rPr>
            </w:pPr>
            <w:r>
              <w:rPr>
                <w:rFonts w:hint="eastAsia" w:cs="Times New Roman" w:asciiTheme="minorHAnsi" w:hAnsiTheme="minorHAnsi" w:eastAsiaTheme="minorEastAsia"/>
                <w:kern w:val="2"/>
                <w:sz w:val="21"/>
                <w:szCs w:val="21"/>
                <w:lang w:val="en-US" w:eastAsia="zh-CN" w:bidi="ar-SA"/>
              </w:rPr>
              <w:t>（7）如果验收时中标供应商所提供设备达不到采购项目的技术需求，在整改期限20日内中标供应商仍无法提供满足项目技术要求的设备，采购人可以终止项目，中标供应商须承担相应违约责任。</w:t>
            </w:r>
          </w:p>
          <w:p w14:paraId="39A6A136">
            <w:pPr>
              <w:pStyle w:val="7"/>
              <w:rPr>
                <w:rFonts w:hint="eastAsia" w:cs="Times New Roman"/>
                <w:sz w:val="21"/>
                <w:szCs w:val="21"/>
              </w:rPr>
            </w:pPr>
            <w:r>
              <w:rPr>
                <w:rFonts w:hint="eastAsia"/>
                <w:b/>
                <w:bCs/>
                <w:highlight w:val="none"/>
                <w:lang w:val="en-US" w:eastAsia="zh-CN"/>
              </w:rPr>
              <w:t>注：报价人</w:t>
            </w:r>
            <w:r>
              <w:rPr>
                <w:rFonts w:hint="eastAsia"/>
                <w:b/>
                <w:bCs/>
                <w:highlight w:val="none"/>
              </w:rPr>
              <w:t>提供的项目实施方案及</w:t>
            </w:r>
            <w:r>
              <w:rPr>
                <w:rFonts w:hint="eastAsia"/>
                <w:b/>
                <w:bCs/>
                <w:highlight w:val="none"/>
                <w:lang w:val="en-US" w:eastAsia="zh-CN"/>
              </w:rPr>
              <w:t>售后</w:t>
            </w:r>
            <w:r>
              <w:rPr>
                <w:rFonts w:hint="eastAsia"/>
                <w:b/>
                <w:bCs/>
                <w:highlight w:val="none"/>
              </w:rPr>
              <w:t>服务承诺内容在合同实施阶段必须严格执行。</w:t>
            </w:r>
            <w:r>
              <w:rPr>
                <w:rFonts w:hint="eastAsia"/>
                <w:b/>
                <w:bCs/>
                <w:highlight w:val="none"/>
                <w:lang w:val="en-US" w:eastAsia="zh-CN"/>
              </w:rPr>
              <w:t>报价</w:t>
            </w:r>
            <w:r>
              <w:rPr>
                <w:rFonts w:hint="eastAsia"/>
                <w:b/>
                <w:bCs/>
                <w:highlight w:val="none"/>
              </w:rPr>
              <w:t>人应认真对待</w:t>
            </w:r>
            <w:r>
              <w:rPr>
                <w:rFonts w:hint="eastAsia"/>
                <w:b/>
                <w:bCs/>
                <w:highlight w:val="none"/>
                <w:lang w:val="en-US" w:eastAsia="zh-CN"/>
              </w:rPr>
              <w:t>方案和</w:t>
            </w:r>
            <w:r>
              <w:rPr>
                <w:rFonts w:hint="eastAsia"/>
                <w:b/>
                <w:bCs/>
                <w:highlight w:val="none"/>
              </w:rPr>
              <w:t>承诺内容，确保其真实性和可操作性，否则将承担相应的法律责任和违约后果。</w:t>
            </w:r>
          </w:p>
        </w:tc>
      </w:tr>
    </w:tbl>
    <w:p w14:paraId="6F576AAD">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2C3C65FA">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D95C969">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58204E2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7525521E">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774330C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470E7B02">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766AAAD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536C38FE">
      <w:pPr>
        <w:pStyle w:val="7"/>
      </w:pPr>
      <w:r>
        <w:rPr>
          <w:rFonts w:hint="eastAsia" w:ascii="Arial" w:hAnsi="Arial" w:eastAsia="宋体" w:cs="Arial"/>
          <w:b/>
          <w:kern w:val="0"/>
          <w:sz w:val="24"/>
          <w:szCs w:val="28"/>
        </w:rPr>
        <w:t>（7）法律、行政法规规定的其他条件。</w:t>
      </w:r>
    </w:p>
    <w:p w14:paraId="40E6ECCD">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35FAA320">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CF64E20">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7E37442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5</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14</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，逾期无效</w:t>
      </w:r>
      <w:r>
        <w:rPr>
          <w:rFonts w:hint="eastAsia" w:ascii="Arial" w:hAnsi="Arial" w:eastAsia="宋体" w:cs="Arial"/>
          <w:kern w:val="0"/>
          <w:sz w:val="24"/>
          <w:szCs w:val="28"/>
          <w:lang w:eastAsia="zh-CN"/>
        </w:rPr>
        <w:t>。</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2E11FF6D">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
          <w:bCs/>
          <w:color w:val="auto"/>
          <w:kern w:val="0"/>
          <w:sz w:val="24"/>
          <w:szCs w:val="28"/>
          <w:lang w:val="en-US" w:eastAsia="zh-CN" w:bidi="en-US"/>
        </w:rPr>
        <w:t>黎飞</w:t>
      </w:r>
      <w:r>
        <w:rPr>
          <w:rFonts w:hint="eastAsia" w:ascii="Arial" w:hAnsi="Arial" w:eastAsia="宋体" w:cs="Arial"/>
          <w:b/>
          <w:bCs/>
          <w:color w:val="auto"/>
          <w:kern w:val="0"/>
          <w:sz w:val="24"/>
          <w:szCs w:val="28"/>
          <w:lang w:bidi="en-US"/>
        </w:rPr>
        <w:t xml:space="preserve">    联系电话：</w:t>
      </w:r>
      <w:r>
        <w:rPr>
          <w:rFonts w:hint="eastAsia" w:ascii="Arial" w:hAnsi="Arial" w:eastAsia="宋体" w:cs="Arial"/>
          <w:b/>
          <w:bCs/>
          <w:color w:val="auto"/>
          <w:kern w:val="0"/>
          <w:sz w:val="24"/>
          <w:szCs w:val="28"/>
          <w:lang w:val="en-US" w:eastAsia="zh-CN" w:bidi="en-US"/>
        </w:rPr>
        <w:t>18007720501</w:t>
      </w:r>
      <w:r>
        <w:rPr>
          <w:rFonts w:ascii="Arial" w:hAnsi="Arial" w:eastAsia="宋体" w:cs="Arial"/>
          <w:color w:val="auto"/>
          <w:kern w:val="0"/>
          <w:sz w:val="24"/>
          <w:szCs w:val="28"/>
        </w:rPr>
        <w:t>。</w:t>
      </w:r>
    </w:p>
    <w:p w14:paraId="60FB0F00">
      <w:pPr>
        <w:widowControl/>
        <w:adjustRightInd w:val="0"/>
        <w:snapToGrid w:val="0"/>
        <w:spacing w:line="520" w:lineRule="exact"/>
        <w:jc w:val="left"/>
        <w:rPr>
          <w:rFonts w:ascii="Arial" w:hAnsi="Arial" w:eastAsia="宋体" w:cs="Arial"/>
          <w:color w:val="auto"/>
          <w:kern w:val="0"/>
          <w:sz w:val="24"/>
          <w:szCs w:val="28"/>
        </w:rPr>
      </w:pPr>
    </w:p>
    <w:p w14:paraId="71E050FB">
      <w:pPr>
        <w:widowControl/>
        <w:jc w:val="left"/>
        <w:rPr>
          <w:rFonts w:ascii="Arial" w:hAnsi="Arial" w:cs="Arial"/>
          <w:sz w:val="24"/>
          <w:szCs w:val="24"/>
        </w:rPr>
      </w:pPr>
    </w:p>
    <w:p w14:paraId="5CED5D39">
      <w:pPr>
        <w:widowControl/>
        <w:jc w:val="right"/>
        <w:rPr>
          <w:rFonts w:ascii="Arial" w:hAnsi="Arial" w:cs="Arial"/>
          <w:b/>
          <w:sz w:val="24"/>
          <w:szCs w:val="24"/>
        </w:rPr>
      </w:pPr>
      <w:bookmarkStart w:id="55" w:name="_GoBack"/>
      <w:bookmarkEnd w:id="55"/>
      <w:r>
        <w:rPr>
          <w:rFonts w:ascii="Arial" w:hAnsi="Arial" w:cs="Arial"/>
          <w:b/>
          <w:sz w:val="24"/>
          <w:szCs w:val="24"/>
        </w:rPr>
        <w:t>柳州职业技术</w:t>
      </w:r>
      <w:r>
        <w:rPr>
          <w:rFonts w:hint="eastAsia" w:ascii="Arial" w:hAnsi="Arial" w:eastAsia="宋体" w:cs="Arial"/>
          <w:b/>
          <w:bCs/>
          <w:kern w:val="0"/>
          <w:sz w:val="24"/>
          <w:szCs w:val="28"/>
        </w:rPr>
        <w:t>大学</w:t>
      </w:r>
    </w:p>
    <w:p w14:paraId="07BFAF73">
      <w:pPr>
        <w:widowControl/>
        <w:jc w:val="righ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2025</w:t>
      </w:r>
      <w:r>
        <w:rPr>
          <w:rFonts w:ascii="Arial" w:hAnsi="Arial" w:cs="Arial"/>
          <w:b/>
          <w:sz w:val="24"/>
          <w:szCs w:val="24"/>
        </w:rPr>
        <w:t>年</w:t>
      </w:r>
      <w:r>
        <w:rPr>
          <w:rFonts w:hint="eastAsia" w:ascii="Arial" w:hAnsi="Arial" w:cs="Arial"/>
          <w:b/>
          <w:sz w:val="24"/>
          <w:szCs w:val="24"/>
          <w:lang w:val="en-US" w:eastAsia="zh-CN"/>
        </w:rPr>
        <w:t>5</w:t>
      </w:r>
      <w:r>
        <w:rPr>
          <w:rFonts w:ascii="Arial" w:hAnsi="Arial" w:cs="Arial"/>
          <w:b/>
          <w:sz w:val="24"/>
          <w:szCs w:val="24"/>
        </w:rPr>
        <w:t>月</w:t>
      </w:r>
      <w:r>
        <w:rPr>
          <w:rFonts w:hint="eastAsia" w:ascii="Arial" w:hAnsi="Arial" w:cs="Arial"/>
          <w:b/>
          <w:sz w:val="24"/>
          <w:szCs w:val="24"/>
          <w:lang w:val="en-US" w:eastAsia="zh-CN"/>
        </w:rPr>
        <w:t>6</w:t>
      </w:r>
      <w:r>
        <w:rPr>
          <w:rFonts w:ascii="Arial" w:hAnsi="Arial" w:cs="Arial"/>
          <w:b/>
          <w:sz w:val="24"/>
          <w:szCs w:val="24"/>
        </w:rPr>
        <w:t>日</w:t>
      </w:r>
    </w:p>
    <w:p w14:paraId="49D9C361">
      <w:pPr>
        <w:pStyle w:val="7"/>
      </w:pPr>
    </w:p>
    <w:p w14:paraId="29AEE1DF">
      <w:pPr>
        <w:pStyle w:val="7"/>
      </w:pPr>
    </w:p>
    <w:p w14:paraId="0660A2FB">
      <w:pPr>
        <w:pStyle w:val="7"/>
      </w:pPr>
    </w:p>
    <w:p w14:paraId="68D40252">
      <w:pPr>
        <w:pStyle w:val="7"/>
      </w:pPr>
    </w:p>
    <w:p w14:paraId="088FE834">
      <w:pPr>
        <w:pStyle w:val="7"/>
      </w:pPr>
    </w:p>
    <w:p w14:paraId="565E5AEA">
      <w:pPr>
        <w:pStyle w:val="7"/>
      </w:pPr>
    </w:p>
    <w:p w14:paraId="70E3A1B5">
      <w:pPr>
        <w:pStyle w:val="7"/>
      </w:pPr>
    </w:p>
    <w:p w14:paraId="6381BBE9">
      <w:pPr>
        <w:pStyle w:val="7"/>
      </w:pPr>
    </w:p>
    <w:p w14:paraId="25C294A0">
      <w:pPr>
        <w:pStyle w:val="7"/>
      </w:pPr>
    </w:p>
    <w:p w14:paraId="43D5BD00">
      <w:pPr>
        <w:pStyle w:val="7"/>
      </w:pPr>
    </w:p>
    <w:p w14:paraId="63959D34">
      <w:pPr>
        <w:pStyle w:val="7"/>
      </w:pPr>
    </w:p>
    <w:p w14:paraId="65057276">
      <w:pPr>
        <w:pStyle w:val="7"/>
      </w:pPr>
    </w:p>
    <w:p w14:paraId="6924B245">
      <w:pPr>
        <w:pStyle w:val="7"/>
      </w:pPr>
    </w:p>
    <w:p w14:paraId="23139528">
      <w:pPr>
        <w:pStyle w:val="7"/>
      </w:pPr>
    </w:p>
    <w:p w14:paraId="0245FD4F">
      <w:pPr>
        <w:pStyle w:val="7"/>
      </w:pPr>
    </w:p>
    <w:p w14:paraId="40CEF5AB">
      <w:pPr>
        <w:pStyle w:val="7"/>
      </w:pPr>
    </w:p>
    <w:p w14:paraId="0026566D">
      <w:pPr>
        <w:pStyle w:val="7"/>
      </w:pPr>
    </w:p>
    <w:p w14:paraId="6C9241E4">
      <w:pPr>
        <w:pStyle w:val="7"/>
      </w:pPr>
    </w:p>
    <w:p w14:paraId="44608276">
      <w:pPr>
        <w:pStyle w:val="7"/>
      </w:pPr>
    </w:p>
    <w:p w14:paraId="0707BBA0">
      <w:pPr>
        <w:pStyle w:val="7"/>
      </w:pPr>
    </w:p>
    <w:p w14:paraId="39700C64">
      <w:pPr>
        <w:pStyle w:val="7"/>
      </w:pPr>
    </w:p>
    <w:p w14:paraId="160289AE">
      <w:pPr>
        <w:pStyle w:val="7"/>
      </w:pPr>
    </w:p>
    <w:p w14:paraId="19A07414">
      <w:pPr>
        <w:pStyle w:val="7"/>
      </w:pPr>
    </w:p>
    <w:p w14:paraId="09D22F82">
      <w:pPr>
        <w:pStyle w:val="7"/>
      </w:pPr>
    </w:p>
    <w:p w14:paraId="69AB0197">
      <w:pPr>
        <w:pStyle w:val="7"/>
      </w:pPr>
    </w:p>
    <w:p w14:paraId="57E70EEF">
      <w:pPr>
        <w:pStyle w:val="7"/>
      </w:pPr>
    </w:p>
    <w:p w14:paraId="2CF46F43">
      <w:pPr>
        <w:pStyle w:val="7"/>
      </w:pPr>
    </w:p>
    <w:p w14:paraId="11B03D68">
      <w:pPr>
        <w:pStyle w:val="7"/>
      </w:pPr>
    </w:p>
    <w:p w14:paraId="2714B989">
      <w:pPr>
        <w:pStyle w:val="7"/>
      </w:pPr>
    </w:p>
    <w:p w14:paraId="2DA53A40">
      <w:pPr>
        <w:pStyle w:val="7"/>
      </w:pPr>
    </w:p>
    <w:p w14:paraId="68BBBBFB">
      <w:pPr>
        <w:pStyle w:val="7"/>
      </w:pPr>
    </w:p>
    <w:p w14:paraId="47AAF2B5">
      <w:pPr>
        <w:pStyle w:val="7"/>
        <w:jc w:val="center"/>
        <w:rPr>
          <w:rFonts w:hint="eastAsia"/>
          <w:sz w:val="32"/>
          <w:szCs w:val="36"/>
          <w:lang w:val="en-US" w:eastAsia="zh-CN"/>
        </w:rPr>
      </w:pPr>
      <w:r>
        <w:rPr>
          <w:rFonts w:hint="eastAsia"/>
          <w:sz w:val="32"/>
          <w:szCs w:val="36"/>
          <w:lang w:val="en-US" w:eastAsia="zh-CN"/>
        </w:rPr>
        <w:t>评分办法</w:t>
      </w:r>
    </w:p>
    <w:tbl>
      <w:tblPr>
        <w:tblStyle w:val="18"/>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006"/>
        <w:gridCol w:w="1128"/>
        <w:gridCol w:w="8025"/>
      </w:tblGrid>
      <w:tr w14:paraId="7D96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24" w:type="dxa"/>
            <w:gridSpan w:val="2"/>
            <w:tcBorders>
              <w:top w:val="single" w:color="auto" w:sz="4" w:space="0"/>
              <w:left w:val="single" w:color="auto" w:sz="4" w:space="0"/>
              <w:bottom w:val="single" w:color="auto" w:sz="4" w:space="0"/>
              <w:right w:val="single" w:color="auto" w:sz="4" w:space="0"/>
            </w:tcBorders>
            <w:noWrap w:val="0"/>
            <w:vAlign w:val="center"/>
          </w:tcPr>
          <w:p w14:paraId="6ACAD634">
            <w:pPr>
              <w:bidi w:val="0"/>
              <w:jc w:val="center"/>
              <w:rPr>
                <w:b/>
                <w:bCs/>
                <w:color w:val="auto"/>
                <w:highlight w:val="none"/>
                <w:lang w:val="en-US"/>
              </w:rPr>
            </w:pPr>
            <w:r>
              <w:rPr>
                <w:rFonts w:hint="eastAsia"/>
                <w:b/>
                <w:bCs/>
                <w:color w:val="auto"/>
                <w:highlight w:val="none"/>
                <w:lang w:val="en-US" w:eastAsia="zh-CN"/>
              </w:rPr>
              <w:t>序号</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15C2825B">
            <w:pPr>
              <w:bidi w:val="0"/>
              <w:jc w:val="center"/>
              <w:rPr>
                <w:b/>
                <w:bCs/>
                <w:color w:val="auto"/>
                <w:highlight w:val="none"/>
                <w:lang w:val="en-US"/>
              </w:rPr>
            </w:pPr>
            <w:r>
              <w:rPr>
                <w:rFonts w:hint="eastAsia"/>
                <w:b/>
                <w:bCs/>
                <w:color w:val="auto"/>
                <w:highlight w:val="none"/>
                <w:lang w:val="en-US" w:eastAsia="zh-CN"/>
              </w:rPr>
              <w:t>评审因素</w:t>
            </w:r>
          </w:p>
        </w:tc>
        <w:tc>
          <w:tcPr>
            <w:tcW w:w="8026" w:type="dxa"/>
            <w:tcBorders>
              <w:top w:val="single" w:color="auto" w:sz="4" w:space="0"/>
              <w:left w:val="single" w:color="auto" w:sz="4" w:space="0"/>
              <w:bottom w:val="single" w:color="auto" w:sz="4" w:space="0"/>
              <w:right w:val="single" w:color="auto" w:sz="4" w:space="0"/>
            </w:tcBorders>
            <w:noWrap w:val="0"/>
            <w:vAlign w:val="center"/>
          </w:tcPr>
          <w:p w14:paraId="7E36CD4B">
            <w:pPr>
              <w:bidi w:val="0"/>
              <w:jc w:val="center"/>
              <w:rPr>
                <w:b/>
                <w:bCs/>
                <w:color w:val="auto"/>
                <w:highlight w:val="none"/>
                <w:lang w:val="en-US"/>
              </w:rPr>
            </w:pPr>
            <w:r>
              <w:rPr>
                <w:rFonts w:hint="eastAsia"/>
                <w:b/>
                <w:bCs/>
                <w:color w:val="auto"/>
                <w:highlight w:val="none"/>
                <w:lang w:val="en-US" w:eastAsia="zh-CN"/>
              </w:rPr>
              <w:t>评标标准</w:t>
            </w:r>
          </w:p>
        </w:tc>
      </w:tr>
      <w:tr w14:paraId="0C67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418" w:type="dxa"/>
            <w:tcBorders>
              <w:top w:val="single" w:color="auto" w:sz="4" w:space="0"/>
              <w:left w:val="single" w:color="auto" w:sz="4" w:space="0"/>
              <w:bottom w:val="single" w:color="auto" w:sz="4" w:space="0"/>
              <w:right w:val="single" w:color="auto" w:sz="4" w:space="0"/>
            </w:tcBorders>
            <w:noWrap w:val="0"/>
            <w:vAlign w:val="center"/>
          </w:tcPr>
          <w:p w14:paraId="240E5168">
            <w:pPr>
              <w:bidi w:val="0"/>
              <w:rPr>
                <w:color w:val="auto"/>
                <w:highlight w:val="none"/>
                <w:lang w:val="en-US"/>
              </w:rPr>
            </w:pPr>
            <w:r>
              <w:rPr>
                <w:rFonts w:hint="eastAsia"/>
                <w:color w:val="auto"/>
                <w:highlight w:val="none"/>
                <w:lang w:val="en-US" w:eastAsia="zh-CN"/>
              </w:rPr>
              <w:t>1</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7225AA02">
            <w:pPr>
              <w:bidi w:val="0"/>
              <w:jc w:val="center"/>
              <w:rPr>
                <w:color w:val="auto"/>
                <w:highlight w:val="none"/>
                <w:lang w:val="en-US"/>
              </w:rPr>
            </w:pPr>
            <w:r>
              <w:rPr>
                <w:rFonts w:hint="eastAsia"/>
                <w:color w:val="auto"/>
                <w:highlight w:val="none"/>
                <w:lang w:val="en-US" w:eastAsia="zh-CN"/>
              </w:rPr>
              <w:t>价格分</w:t>
            </w:r>
          </w:p>
          <w:p w14:paraId="481B2B93">
            <w:pPr>
              <w:bidi w:val="0"/>
              <w:jc w:val="center"/>
              <w:rPr>
                <w:color w:val="auto"/>
                <w:highlight w:val="none"/>
                <w:lang w:val="en-US"/>
              </w:rPr>
            </w:pPr>
            <w:r>
              <w:rPr>
                <w:rFonts w:hint="eastAsia"/>
                <w:color w:val="auto"/>
                <w:highlight w:val="none"/>
                <w:lang w:val="en-US" w:eastAsia="zh-CN"/>
              </w:rPr>
              <w:t>（满分30分）</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5B3C20B1">
            <w:pPr>
              <w:bidi w:val="0"/>
              <w:jc w:val="center"/>
              <w:rPr>
                <w:color w:val="auto"/>
                <w:highlight w:val="none"/>
                <w:lang w:val="en-US"/>
              </w:rPr>
            </w:pPr>
            <w:r>
              <w:rPr>
                <w:rFonts w:hint="eastAsia"/>
                <w:color w:val="auto"/>
                <w:highlight w:val="none"/>
                <w:lang w:val="en-US" w:eastAsia="zh-CN"/>
              </w:rPr>
              <w:t>投标报价</w:t>
            </w:r>
          </w:p>
        </w:tc>
        <w:tc>
          <w:tcPr>
            <w:tcW w:w="8026" w:type="dxa"/>
            <w:tcBorders>
              <w:top w:val="single" w:color="auto" w:sz="4" w:space="0"/>
              <w:left w:val="single" w:color="auto" w:sz="4" w:space="0"/>
              <w:bottom w:val="single" w:color="auto" w:sz="4" w:space="0"/>
              <w:right w:val="single" w:color="auto" w:sz="4" w:space="0"/>
            </w:tcBorders>
            <w:noWrap w:val="0"/>
            <w:vAlign w:val="center"/>
          </w:tcPr>
          <w:p w14:paraId="65B569FE">
            <w:pPr>
              <w:pStyle w:val="17"/>
              <w:bidi w:val="0"/>
              <w:rPr>
                <w:rFonts w:hint="eastAsia"/>
                <w:color w:val="auto"/>
                <w:highlight w:val="none"/>
                <w:lang w:val="en-US" w:eastAsia="zh-CN"/>
              </w:rPr>
            </w:pPr>
            <w:r>
              <w:rPr>
                <w:rFonts w:hint="eastAsia"/>
                <w:b/>
                <w:bCs/>
                <w:color w:val="auto"/>
                <w:highlight w:val="none"/>
              </w:rPr>
              <w:t>本项目是专门面向</w:t>
            </w:r>
            <w:r>
              <w:rPr>
                <w:rFonts w:hint="eastAsia"/>
                <w:b/>
                <w:bCs/>
                <w:color w:val="auto"/>
                <w:highlight w:val="none"/>
                <w:lang w:val="en-US" w:eastAsia="zh-CN"/>
              </w:rPr>
              <w:t>中</w:t>
            </w:r>
            <w:r>
              <w:rPr>
                <w:rFonts w:hint="eastAsia"/>
                <w:b/>
                <w:bCs/>
                <w:color w:val="auto"/>
                <w:highlight w:val="none"/>
              </w:rPr>
              <w:t>小微企业采购的标的</w:t>
            </w:r>
            <w:r>
              <w:rPr>
                <w:rFonts w:hint="eastAsia"/>
                <w:b/>
                <w:bCs/>
                <w:color w:val="auto"/>
                <w:highlight w:val="none"/>
                <w:lang w:eastAsia="zh-CN"/>
              </w:rPr>
              <w:t>，</w:t>
            </w:r>
            <w:r>
              <w:rPr>
                <w:rFonts w:hint="eastAsia"/>
                <w:b/>
                <w:bCs/>
                <w:color w:val="auto"/>
                <w:highlight w:val="none"/>
                <w:lang w:val="en-US" w:eastAsia="zh-CN"/>
              </w:rPr>
              <w:t>不再对</w:t>
            </w:r>
            <w:r>
              <w:rPr>
                <w:rFonts w:hint="eastAsia"/>
                <w:b/>
                <w:bCs/>
                <w:color w:val="auto"/>
                <w:highlight w:val="none"/>
              </w:rPr>
              <w:t>小微企业（监狱企业、残疾人福利单位视同小微企业）</w:t>
            </w:r>
            <w:r>
              <w:rPr>
                <w:rFonts w:hint="eastAsia"/>
                <w:b/>
                <w:bCs/>
                <w:color w:val="auto"/>
                <w:highlight w:val="none"/>
                <w:lang w:val="en-US" w:eastAsia="zh-CN"/>
              </w:rPr>
              <w:t>给予价格扣除。</w:t>
            </w:r>
          </w:p>
          <w:p w14:paraId="62901D15">
            <w:pPr>
              <w:pStyle w:val="17"/>
              <w:bidi w:val="0"/>
              <w:rPr>
                <w:rFonts w:hint="eastAsia"/>
                <w:color w:val="auto"/>
                <w:highlight w:val="none"/>
                <w:lang w:val="en-US" w:eastAsia="zh-CN"/>
              </w:rPr>
            </w:pPr>
            <w:r>
              <w:rPr>
                <w:rFonts w:hint="eastAsia"/>
                <w:color w:val="auto"/>
                <w:highlight w:val="none"/>
                <w:lang w:val="en-US" w:eastAsia="zh-CN"/>
              </w:rPr>
              <w:t>满足招标文件要求且评标报价最低的评标报价为评标基准价，其价格分为满分；</w:t>
            </w:r>
          </w:p>
          <w:p w14:paraId="60B9062F">
            <w:pPr>
              <w:pStyle w:val="17"/>
              <w:bidi w:val="0"/>
              <w:ind w:left="0" w:leftChars="0" w:firstLine="0" w:firstLineChars="0"/>
              <w:rPr>
                <w:rFonts w:hint="eastAsia"/>
                <w:color w:val="auto"/>
                <w:highlight w:val="none"/>
                <w:lang w:val="en-US" w:eastAsia="zh-CN"/>
              </w:rPr>
            </w:pPr>
            <w:r>
              <w:rPr>
                <w:rFonts w:hint="eastAsia"/>
                <w:color w:val="auto"/>
                <w:highlight w:val="none"/>
                <w:lang w:val="en-US" w:eastAsia="zh-CN"/>
              </w:rPr>
              <w:t>价格分计算公式：</w:t>
            </w:r>
          </w:p>
          <w:p w14:paraId="43EB8F75">
            <w:pPr>
              <w:pStyle w:val="17"/>
              <w:bidi w:val="0"/>
              <w:rPr>
                <w:color w:val="auto"/>
                <w:highlight w:val="none"/>
                <w:lang w:val="en-US"/>
              </w:rPr>
            </w:pPr>
            <w:r>
              <w:rPr>
                <w:rFonts w:hint="eastAsia"/>
                <w:color w:val="auto"/>
                <w:highlight w:val="none"/>
                <w:lang w:val="en-US" w:eastAsia="zh-CN"/>
              </w:rPr>
              <w:t>价格分=（评标基准价／评标报价）×30分。</w:t>
            </w:r>
          </w:p>
        </w:tc>
      </w:tr>
      <w:tr w14:paraId="1CF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18" w:type="dxa"/>
            <w:vMerge w:val="restart"/>
            <w:tcBorders>
              <w:top w:val="single" w:color="auto" w:sz="4" w:space="0"/>
              <w:left w:val="single" w:color="auto" w:sz="4" w:space="0"/>
              <w:right w:val="single" w:color="auto" w:sz="4" w:space="0"/>
            </w:tcBorders>
            <w:noWrap w:val="0"/>
            <w:vAlign w:val="center"/>
          </w:tcPr>
          <w:p w14:paraId="5284D24B">
            <w:pPr>
              <w:bidi w:val="0"/>
              <w:rPr>
                <w:color w:val="auto"/>
                <w:highlight w:val="none"/>
                <w:lang w:val="en-US"/>
              </w:rPr>
            </w:pPr>
            <w:r>
              <w:rPr>
                <w:rFonts w:hint="eastAsia"/>
                <w:color w:val="auto"/>
                <w:highlight w:val="none"/>
                <w:lang w:val="en-US" w:eastAsia="zh-CN"/>
              </w:rPr>
              <w:t>2</w:t>
            </w:r>
          </w:p>
        </w:tc>
        <w:tc>
          <w:tcPr>
            <w:tcW w:w="1006" w:type="dxa"/>
            <w:vMerge w:val="restart"/>
            <w:tcBorders>
              <w:top w:val="single" w:color="auto" w:sz="4" w:space="0"/>
              <w:left w:val="single" w:color="auto" w:sz="4" w:space="0"/>
              <w:right w:val="single" w:color="auto" w:sz="4" w:space="0"/>
            </w:tcBorders>
            <w:noWrap w:val="0"/>
            <w:vAlign w:val="center"/>
          </w:tcPr>
          <w:p w14:paraId="5B4D4F12">
            <w:pPr>
              <w:bidi w:val="0"/>
              <w:jc w:val="center"/>
              <w:rPr>
                <w:color w:val="auto"/>
                <w:highlight w:val="none"/>
                <w:lang w:val="en-US"/>
              </w:rPr>
            </w:pPr>
            <w:r>
              <w:rPr>
                <w:rFonts w:hint="eastAsia"/>
                <w:color w:val="auto"/>
                <w:highlight w:val="none"/>
                <w:lang w:val="en-US" w:eastAsia="zh-CN"/>
              </w:rPr>
              <w:t>技术分</w:t>
            </w:r>
          </w:p>
          <w:p w14:paraId="675A2E5D">
            <w:pPr>
              <w:bidi w:val="0"/>
              <w:jc w:val="center"/>
              <w:rPr>
                <w:color w:val="auto"/>
                <w:highlight w:val="none"/>
                <w:lang w:val="en-US"/>
              </w:rPr>
            </w:pPr>
            <w:r>
              <w:rPr>
                <w:rFonts w:hint="eastAsia"/>
                <w:color w:val="auto"/>
                <w:highlight w:val="none"/>
                <w:lang w:val="en-US" w:eastAsia="zh-CN"/>
              </w:rPr>
              <w:t>（满分55分）</w:t>
            </w:r>
          </w:p>
        </w:tc>
        <w:tc>
          <w:tcPr>
            <w:tcW w:w="1128" w:type="dxa"/>
            <w:tcBorders>
              <w:top w:val="single" w:color="auto" w:sz="4" w:space="0"/>
              <w:left w:val="single" w:color="auto" w:sz="4" w:space="0"/>
              <w:right w:val="single" w:color="auto" w:sz="4" w:space="0"/>
            </w:tcBorders>
            <w:noWrap w:val="0"/>
            <w:vAlign w:val="center"/>
          </w:tcPr>
          <w:p w14:paraId="4B7E331D">
            <w:pPr>
              <w:bidi w:val="0"/>
              <w:jc w:val="center"/>
              <w:rPr>
                <w:color w:val="auto"/>
                <w:highlight w:val="none"/>
                <w:lang w:val="en-US"/>
              </w:rPr>
            </w:pPr>
            <w:r>
              <w:rPr>
                <w:rFonts w:hint="eastAsia"/>
                <w:color w:val="auto"/>
                <w:highlight w:val="none"/>
                <w:lang w:val="en-US" w:eastAsia="zh-CN"/>
              </w:rPr>
              <w:t>基本分（满分10分）</w:t>
            </w:r>
          </w:p>
        </w:tc>
        <w:tc>
          <w:tcPr>
            <w:tcW w:w="8026" w:type="dxa"/>
            <w:tcBorders>
              <w:top w:val="single" w:color="auto" w:sz="4" w:space="0"/>
              <w:left w:val="single" w:color="auto" w:sz="4" w:space="0"/>
              <w:bottom w:val="single" w:color="auto" w:sz="4" w:space="0"/>
              <w:right w:val="single" w:color="auto" w:sz="4" w:space="0"/>
            </w:tcBorders>
            <w:noWrap w:val="0"/>
            <w:vAlign w:val="center"/>
          </w:tcPr>
          <w:p w14:paraId="0446BCD5">
            <w:pPr>
              <w:pStyle w:val="17"/>
              <w:bidi w:val="0"/>
              <w:rPr>
                <w:rFonts w:hint="eastAsia"/>
                <w:color w:val="auto"/>
                <w:highlight w:val="none"/>
                <w:lang w:val="en-US" w:eastAsia="zh-CN"/>
              </w:rPr>
            </w:pPr>
            <w:r>
              <w:rPr>
                <w:rFonts w:hint="eastAsia" w:ascii="Arial" w:hAnsi="Arial" w:cs="Arial"/>
                <w:kern w:val="0"/>
                <w:szCs w:val="21"/>
                <w:lang w:val="en-US" w:eastAsia="zh-CN"/>
              </w:rPr>
              <w:t>1.所有</w:t>
            </w:r>
            <w:r>
              <w:rPr>
                <w:rFonts w:hint="eastAsia" w:ascii="Arial" w:hAnsi="Arial" w:cs="Arial"/>
                <w:kern w:val="0"/>
                <w:szCs w:val="21"/>
              </w:rPr>
              <w:t>参数</w:t>
            </w:r>
            <w:r>
              <w:rPr>
                <w:rFonts w:hint="eastAsia" w:ascii="Arial" w:hAnsi="Arial" w:cs="Arial"/>
                <w:kern w:val="0"/>
                <w:szCs w:val="21"/>
                <w:lang w:val="en-US" w:eastAsia="zh-CN"/>
              </w:rPr>
              <w:t>均需满足</w:t>
            </w:r>
            <w:r>
              <w:rPr>
                <w:rFonts w:hint="eastAsia"/>
                <w:color w:val="auto"/>
                <w:highlight w:val="none"/>
                <w:lang w:val="en-US" w:eastAsia="zh-CN"/>
              </w:rPr>
              <w:t>。</w:t>
            </w:r>
          </w:p>
          <w:p w14:paraId="057254CA">
            <w:pPr>
              <w:pStyle w:val="17"/>
              <w:bidi w:val="0"/>
              <w:rPr>
                <w:rFonts w:hint="eastAsia" w:ascii="宋体" w:hAnsi="宋体" w:cs="宋体"/>
                <w:color w:val="000000"/>
                <w:szCs w:val="21"/>
                <w:highlight w:val="none"/>
                <w:lang w:val="en-US" w:eastAsia="zh-CN"/>
              </w:rPr>
            </w:pPr>
            <w:r>
              <w:rPr>
                <w:rFonts w:hint="eastAsia"/>
                <w:color w:val="auto"/>
                <w:highlight w:val="none"/>
                <w:lang w:val="en-US" w:eastAsia="zh-CN"/>
              </w:rPr>
              <w:t>2.对于</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参数，如优于参数要求，每项加1分，满分10分，</w:t>
            </w:r>
          </w:p>
          <w:p w14:paraId="0E07EA24">
            <w:pPr>
              <w:pStyle w:val="17"/>
              <w:bidi w:val="0"/>
              <w:rPr>
                <w:rFonts w:hint="default" w:eastAsiaTheme="minorEastAsia"/>
                <w:color w:val="auto"/>
                <w:highlight w:val="none"/>
                <w:lang w:val="en-US" w:eastAsia="zh-CN"/>
              </w:rPr>
            </w:pPr>
            <w:r>
              <w:rPr>
                <w:rFonts w:hint="eastAsia" w:ascii="宋体" w:hAnsi="宋体" w:cs="宋体"/>
                <w:color w:val="000000"/>
                <w:szCs w:val="21"/>
                <w:highlight w:val="none"/>
                <w:lang w:val="en-US" w:eastAsia="zh-CN"/>
              </w:rPr>
              <w:t>注：提供对应项目佐证材料证明。</w:t>
            </w:r>
          </w:p>
        </w:tc>
      </w:tr>
      <w:tr w14:paraId="0C8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jc w:val="center"/>
        </w:trPr>
        <w:tc>
          <w:tcPr>
            <w:tcW w:w="418" w:type="dxa"/>
            <w:vMerge w:val="continue"/>
            <w:tcBorders>
              <w:left w:val="single" w:color="auto" w:sz="4" w:space="0"/>
              <w:right w:val="single" w:color="auto" w:sz="4" w:space="0"/>
            </w:tcBorders>
            <w:noWrap w:val="0"/>
            <w:vAlign w:val="center"/>
          </w:tcPr>
          <w:p w14:paraId="7EF2BABA">
            <w:pPr>
              <w:bidi w:val="0"/>
              <w:rPr>
                <w:rFonts w:hint="default"/>
                <w:color w:val="auto"/>
                <w:highlight w:val="none"/>
              </w:rPr>
            </w:pPr>
          </w:p>
        </w:tc>
        <w:tc>
          <w:tcPr>
            <w:tcW w:w="1006" w:type="dxa"/>
            <w:vMerge w:val="continue"/>
            <w:tcBorders>
              <w:left w:val="single" w:color="auto" w:sz="4" w:space="0"/>
              <w:right w:val="single" w:color="auto" w:sz="4" w:space="0"/>
            </w:tcBorders>
            <w:noWrap w:val="0"/>
            <w:vAlign w:val="center"/>
          </w:tcPr>
          <w:p w14:paraId="2742360A">
            <w:pPr>
              <w:bidi w:val="0"/>
              <w:jc w:val="center"/>
              <w:rPr>
                <w:rFonts w:hint="default"/>
                <w:color w:val="auto"/>
                <w:highlight w:val="none"/>
              </w:rPr>
            </w:pPr>
          </w:p>
        </w:tc>
        <w:tc>
          <w:tcPr>
            <w:tcW w:w="112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B83AF8">
            <w:pPr>
              <w:bidi w:val="0"/>
              <w:jc w:val="left"/>
              <w:rPr>
                <w:color w:val="auto"/>
                <w:highlight w:val="none"/>
                <w:lang w:val="en-US"/>
              </w:rPr>
            </w:pPr>
            <w:r>
              <w:rPr>
                <w:rFonts w:hint="eastAsia"/>
                <w:color w:val="auto"/>
                <w:highlight w:val="none"/>
                <w:lang w:val="en-US" w:eastAsia="zh-CN"/>
              </w:rPr>
              <w:t>实施方案（满分20分）</w:t>
            </w:r>
          </w:p>
        </w:tc>
        <w:tc>
          <w:tcPr>
            <w:tcW w:w="8026" w:type="dxa"/>
            <w:tcBorders>
              <w:top w:val="single" w:color="auto" w:sz="4" w:space="0"/>
              <w:left w:val="single" w:color="auto" w:sz="4" w:space="0"/>
              <w:bottom w:val="single" w:color="auto" w:sz="4" w:space="0"/>
              <w:right w:val="single" w:color="auto" w:sz="4" w:space="0"/>
            </w:tcBorders>
            <w:noWrap w:val="0"/>
            <w:vAlign w:val="center"/>
          </w:tcPr>
          <w:p w14:paraId="25E36BD4">
            <w:pPr>
              <w:pStyle w:val="17"/>
              <w:bidi w:val="0"/>
              <w:rPr>
                <w:color w:val="auto"/>
                <w:highlight w:val="none"/>
                <w:lang w:val="en-US"/>
              </w:rPr>
            </w:pPr>
            <w:r>
              <w:rPr>
                <w:rFonts w:hint="eastAsia"/>
                <w:color w:val="auto"/>
                <w:highlight w:val="none"/>
                <w:lang w:val="en-US" w:eastAsia="zh-CN"/>
              </w:rPr>
              <w:t>一档（20分）：</w:t>
            </w:r>
            <w:r>
              <w:rPr>
                <w:rFonts w:hint="eastAsia" w:ascii="宋体" w:hAnsi="宋体" w:cs="宋体"/>
                <w:kern w:val="0"/>
                <w:szCs w:val="21"/>
              </w:rPr>
              <w:t>满足二档的情况下，</w:t>
            </w:r>
            <w:r>
              <w:rPr>
                <w:rFonts w:hint="eastAsia"/>
              </w:rPr>
              <w:t>实施方案详实，方案能清楚的表明对本项目的熟悉程度，保证项目实施的技术力量安排充足，技术服务服务内容和措施完善，安装、调试、验收方法或方案同比更完善有效、更优化、切实可行的，拟投入实施人员不少于5人，配置有组织架构图</w:t>
            </w:r>
            <w:r>
              <w:rPr>
                <w:rFonts w:hint="eastAsia"/>
                <w:color w:val="auto"/>
                <w:highlight w:val="none"/>
                <w:lang w:val="en-US" w:eastAsia="zh-CN"/>
              </w:rPr>
              <w:t>。</w:t>
            </w:r>
          </w:p>
          <w:p w14:paraId="07518609">
            <w:pPr>
              <w:pStyle w:val="17"/>
              <w:bidi w:val="0"/>
              <w:rPr>
                <w:color w:val="auto"/>
                <w:highlight w:val="none"/>
                <w:lang w:val="en-US"/>
              </w:rPr>
            </w:pPr>
            <w:r>
              <w:rPr>
                <w:rFonts w:hint="eastAsia"/>
                <w:color w:val="auto"/>
                <w:highlight w:val="none"/>
                <w:lang w:val="en-US" w:eastAsia="zh-CN"/>
              </w:rPr>
              <w:t>二档（10分）：</w:t>
            </w:r>
            <w:r>
              <w:rPr>
                <w:rFonts w:hint="eastAsia" w:ascii="宋体" w:hAnsi="宋体" w:cs="宋体"/>
                <w:kern w:val="0"/>
                <w:szCs w:val="21"/>
              </w:rPr>
              <w:t>满足</w:t>
            </w:r>
            <w:r>
              <w:rPr>
                <w:rFonts w:hint="eastAsia" w:ascii="宋体" w:hAnsi="宋体" w:cs="宋体"/>
                <w:kern w:val="0"/>
                <w:szCs w:val="21"/>
                <w:lang w:val="en-US" w:eastAsia="zh-CN"/>
              </w:rPr>
              <w:t>三</w:t>
            </w:r>
            <w:r>
              <w:rPr>
                <w:rFonts w:hint="eastAsia" w:ascii="宋体" w:hAnsi="宋体" w:cs="宋体"/>
                <w:kern w:val="0"/>
                <w:szCs w:val="21"/>
              </w:rPr>
              <w:t>档的情况下</w:t>
            </w:r>
            <w:r>
              <w:rPr>
                <w:rFonts w:hint="eastAsia"/>
              </w:rPr>
              <w:t>，实施方案合理，实施方案设计较为完整，有切实合理的安装进度安排，安装调试方案和验收措施合理，安全保密管理措施比较完善，项目管理制度和方法严谨，拟投入实施人员不少于3人</w:t>
            </w:r>
            <w:r>
              <w:rPr>
                <w:rFonts w:hint="eastAsia"/>
                <w:lang w:eastAsia="zh-CN"/>
              </w:rPr>
              <w:t>，</w:t>
            </w:r>
            <w:r>
              <w:rPr>
                <w:rFonts w:hint="eastAsia"/>
              </w:rPr>
              <w:t>配置有组织架构图</w:t>
            </w:r>
            <w:r>
              <w:rPr>
                <w:rFonts w:hint="eastAsia"/>
                <w:color w:val="auto"/>
                <w:highlight w:val="none"/>
                <w:lang w:val="en-US" w:eastAsia="zh-CN"/>
              </w:rPr>
              <w:t>。</w:t>
            </w:r>
          </w:p>
          <w:p w14:paraId="51FA283B">
            <w:pPr>
              <w:ind w:firstLine="420" w:firstLineChars="200"/>
            </w:pPr>
            <w:r>
              <w:rPr>
                <w:rFonts w:hint="eastAsia"/>
                <w:color w:val="auto"/>
                <w:highlight w:val="none"/>
                <w:lang w:val="en-US" w:eastAsia="zh-CN"/>
              </w:rPr>
              <w:t>三档（5分）：</w:t>
            </w:r>
            <w:r>
              <w:rPr>
                <w:rFonts w:hint="eastAsia"/>
              </w:rPr>
              <w:t>实施方案简单，措施基本符合项目实施需求，具备安全保密管理措施，保证项目实施的技术力量安排基本满足要求，技术服务内容和措施同比一般。</w:t>
            </w:r>
          </w:p>
          <w:p w14:paraId="5FBBBCD3">
            <w:pPr>
              <w:pStyle w:val="17"/>
              <w:bidi w:val="0"/>
              <w:rPr>
                <w:rFonts w:hint="default"/>
                <w:color w:val="auto"/>
                <w:highlight w:val="none"/>
                <w:lang w:val="en-US" w:eastAsia="zh-CN"/>
              </w:rPr>
            </w:pPr>
            <w:r>
              <w:rPr>
                <w:rFonts w:hint="eastAsia" w:ascii="宋体" w:hAnsi="宋体" w:cs="宋体"/>
                <w:b/>
                <w:bCs/>
                <w:szCs w:val="21"/>
              </w:rPr>
              <w:t>注：</w:t>
            </w:r>
            <w:r>
              <w:rPr>
                <w:rFonts w:hint="eastAsia" w:ascii="宋体" w:hAnsi="宋体" w:cs="宋体"/>
                <w:b/>
                <w:bCs/>
                <w:szCs w:val="21"/>
                <w:lang w:val="en-US" w:eastAsia="zh-CN"/>
              </w:rPr>
              <w:t>报价人</w:t>
            </w:r>
            <w:r>
              <w:rPr>
                <w:rFonts w:hint="eastAsia" w:ascii="宋体" w:hAnsi="宋体" w:cs="宋体"/>
                <w:b/>
                <w:bCs/>
                <w:szCs w:val="21"/>
              </w:rPr>
              <w:t>需提供实施人员</w:t>
            </w:r>
            <w:r>
              <w:rPr>
                <w:rFonts w:hint="eastAsia"/>
                <w:b/>
                <w:bCs/>
              </w:rPr>
              <w:t>2023年1月以来连续三个月依法缴纳社保费的有效证明复印件并加盖公章，</w:t>
            </w:r>
            <w:r>
              <w:rPr>
                <w:rFonts w:hint="eastAsia" w:ascii="宋体" w:hAnsi="宋体" w:cs="仿宋_GB2312"/>
                <w:b/>
                <w:bCs/>
                <w:szCs w:val="21"/>
              </w:rPr>
              <w:t>未提供</w:t>
            </w:r>
            <w:r>
              <w:rPr>
                <w:rFonts w:hint="eastAsia" w:hAnsi="宋体"/>
                <w:b/>
                <w:bCs/>
              </w:rPr>
              <w:t>方案</w:t>
            </w:r>
            <w:r>
              <w:rPr>
                <w:rFonts w:hint="eastAsia" w:ascii="宋体" w:hAnsi="宋体" w:cs="仿宋_GB2312"/>
                <w:b/>
                <w:bCs/>
                <w:szCs w:val="21"/>
              </w:rPr>
              <w:t>或提供的内容与本项目无关的</w:t>
            </w:r>
            <w:r>
              <w:rPr>
                <w:rFonts w:hint="eastAsia" w:ascii="宋体" w:hAnsi="宋体" w:cs="仿宋_GB2312"/>
                <w:b/>
                <w:bCs/>
                <w:szCs w:val="21"/>
                <w:lang w:val="en-US" w:eastAsia="zh-CN"/>
              </w:rPr>
              <w:t>不得</w:t>
            </w:r>
            <w:r>
              <w:rPr>
                <w:rFonts w:hint="eastAsia" w:ascii="宋体" w:hAnsi="宋体" w:cs="仿宋_GB2312"/>
                <w:b/>
                <w:bCs/>
                <w:szCs w:val="21"/>
              </w:rPr>
              <w:t>分。</w:t>
            </w:r>
          </w:p>
        </w:tc>
      </w:tr>
      <w:tr w14:paraId="7594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418" w:type="dxa"/>
            <w:vMerge w:val="continue"/>
            <w:tcBorders>
              <w:left w:val="single" w:color="auto" w:sz="4" w:space="0"/>
              <w:bottom w:val="single" w:color="auto" w:sz="4" w:space="0"/>
              <w:right w:val="single" w:color="auto" w:sz="4" w:space="0"/>
            </w:tcBorders>
            <w:noWrap w:val="0"/>
            <w:vAlign w:val="center"/>
          </w:tcPr>
          <w:p w14:paraId="7D6024AC">
            <w:pPr>
              <w:bidi w:val="0"/>
              <w:rPr>
                <w:rFonts w:hint="default"/>
                <w:color w:val="auto"/>
                <w:highlight w:val="none"/>
              </w:rPr>
            </w:pPr>
          </w:p>
        </w:tc>
        <w:tc>
          <w:tcPr>
            <w:tcW w:w="1006" w:type="dxa"/>
            <w:vMerge w:val="continue"/>
            <w:tcBorders>
              <w:left w:val="single" w:color="auto" w:sz="4" w:space="0"/>
              <w:bottom w:val="single" w:color="auto" w:sz="4" w:space="0"/>
              <w:right w:val="single" w:color="auto" w:sz="4" w:space="0"/>
            </w:tcBorders>
            <w:noWrap w:val="0"/>
            <w:vAlign w:val="center"/>
          </w:tcPr>
          <w:p w14:paraId="37231E54">
            <w:pPr>
              <w:bidi w:val="0"/>
              <w:jc w:val="center"/>
              <w:rPr>
                <w:rFonts w:hint="default"/>
                <w:color w:val="auto"/>
                <w:highlight w:val="none"/>
              </w:rPr>
            </w:pPr>
          </w:p>
        </w:tc>
        <w:tc>
          <w:tcPr>
            <w:tcW w:w="112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2F279063">
            <w:pPr>
              <w:bidi w:val="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售后服务承诺（满分25分）</w:t>
            </w:r>
          </w:p>
        </w:tc>
        <w:tc>
          <w:tcPr>
            <w:tcW w:w="8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59850A">
            <w:pPr>
              <w:pStyle w:val="17"/>
              <w:bidi w:val="0"/>
              <w:rPr>
                <w:rFonts w:hint="eastAsia"/>
                <w:color w:val="auto"/>
                <w:highlight w:val="none"/>
                <w:lang w:val="en-US" w:eastAsia="zh-CN"/>
              </w:rPr>
            </w:pPr>
            <w:r>
              <w:rPr>
                <w:rFonts w:hint="eastAsia"/>
                <w:color w:val="auto"/>
                <w:highlight w:val="none"/>
                <w:lang w:val="en-US" w:eastAsia="zh-CN"/>
              </w:rPr>
              <w:t>一档（25分）：</w:t>
            </w:r>
            <w:r>
              <w:rPr>
                <w:rFonts w:hint="eastAsia" w:ascii="宋体" w:hAnsi="宋体" w:cs="宋体"/>
                <w:kern w:val="0"/>
                <w:szCs w:val="21"/>
              </w:rPr>
              <w:t>满足二档的情况下</w:t>
            </w:r>
            <w:r>
              <w:rPr>
                <w:rFonts w:hint="eastAsia"/>
              </w:rPr>
              <w:t>，能充分满足采购文件要求，故障出现解决方案、技术培训方案、项目参数更新和升级维护方案、免费售后服务期外的售后服务内容、回访措施等内容详实、完整，具有针对性。售后服务体系完善，售后服务保证措施得力，可行性强</w:t>
            </w:r>
            <w:r>
              <w:rPr>
                <w:rFonts w:hint="eastAsia"/>
                <w:color w:val="auto"/>
                <w:highlight w:val="none"/>
                <w:lang w:val="en-US" w:eastAsia="zh-CN"/>
              </w:rPr>
              <w:t>。服务期满后的技术与服务支持承诺至少6个月内不收费的；</w:t>
            </w:r>
          </w:p>
          <w:p w14:paraId="6103311C">
            <w:pPr>
              <w:pStyle w:val="17"/>
              <w:bidi w:val="0"/>
              <w:rPr>
                <w:color w:val="auto"/>
                <w:highlight w:val="none"/>
                <w:lang w:val="en-US"/>
              </w:rPr>
            </w:pPr>
            <w:r>
              <w:rPr>
                <w:rFonts w:hint="eastAsia"/>
                <w:color w:val="auto"/>
                <w:highlight w:val="none"/>
                <w:lang w:val="en-US" w:eastAsia="zh-CN"/>
              </w:rPr>
              <w:t>二档（15分）：</w:t>
            </w:r>
            <w:r>
              <w:rPr>
                <w:rFonts w:hint="eastAsia" w:ascii="宋体" w:hAnsi="宋体" w:cs="宋体"/>
                <w:kern w:val="0"/>
                <w:szCs w:val="21"/>
              </w:rPr>
              <w:t>满足</w:t>
            </w:r>
            <w:r>
              <w:rPr>
                <w:rFonts w:hint="eastAsia" w:ascii="宋体" w:hAnsi="宋体" w:cs="宋体"/>
                <w:kern w:val="0"/>
                <w:szCs w:val="21"/>
                <w:lang w:val="en-US" w:eastAsia="zh-CN"/>
              </w:rPr>
              <w:t>三</w:t>
            </w:r>
            <w:r>
              <w:rPr>
                <w:rFonts w:hint="eastAsia" w:ascii="宋体" w:hAnsi="宋体" w:cs="宋体"/>
                <w:kern w:val="0"/>
                <w:szCs w:val="21"/>
              </w:rPr>
              <w:t>档的情况下</w:t>
            </w:r>
            <w:r>
              <w:rPr>
                <w:rFonts w:hint="eastAsia"/>
              </w:rPr>
              <w:t>，技术培训方案、项目参数更新和升级维护方案等内容较详细、具体，有具体的免费售后服务期外的售后服务内容和回访措施，售后服务体系较完善，售后服务保证措施较得力，可行性较好</w:t>
            </w:r>
            <w:r>
              <w:rPr>
                <w:rFonts w:hint="eastAsia"/>
                <w:color w:val="auto"/>
                <w:highlight w:val="none"/>
                <w:lang w:val="en-US" w:eastAsia="zh-CN"/>
              </w:rPr>
              <w:t>。服务期满后的技术与服务支持承诺至少4个月内不收费的；</w:t>
            </w:r>
          </w:p>
          <w:p w14:paraId="125E505F">
            <w:pPr>
              <w:pStyle w:val="17"/>
              <w:bidi w:val="0"/>
              <w:rPr>
                <w:rFonts w:hint="eastAsia"/>
                <w:color w:val="auto"/>
                <w:highlight w:val="none"/>
                <w:lang w:val="en-US" w:eastAsia="zh-CN"/>
              </w:rPr>
            </w:pPr>
            <w:r>
              <w:rPr>
                <w:rFonts w:hint="eastAsia"/>
                <w:color w:val="auto"/>
                <w:highlight w:val="none"/>
                <w:lang w:val="en-US" w:eastAsia="zh-CN"/>
              </w:rPr>
              <w:t>三档（5分）：方案中的</w:t>
            </w:r>
            <w:r>
              <w:rPr>
                <w:rFonts w:hint="eastAsia"/>
              </w:rPr>
              <w:t>技术培训方案、必要内容更新和升级维护方案等内容基本可行，有简单的免费售后服务期外售后服务内容。</w:t>
            </w:r>
            <w:r>
              <w:rPr>
                <w:rFonts w:hint="eastAsia"/>
                <w:color w:val="auto"/>
                <w:highlight w:val="none"/>
                <w:lang w:val="en-US" w:eastAsia="zh-CN"/>
              </w:rPr>
              <w:t>服务期满后的技术与服务支持承诺至少2个月内不收费的；</w:t>
            </w:r>
          </w:p>
          <w:p w14:paraId="31AEC385">
            <w:pPr>
              <w:pStyle w:val="17"/>
              <w:bidi w:val="0"/>
              <w:ind w:left="0" w:leftChars="0" w:firstLine="422" w:firstLineChars="200"/>
              <w:rPr>
                <w:rFonts w:hint="eastAsia" w:ascii="仿宋" w:hAnsi="仿宋" w:eastAsiaTheme="minorEastAsia" w:cstheme="minorBidi"/>
                <w:color w:val="auto"/>
                <w:kern w:val="2"/>
                <w:sz w:val="21"/>
                <w:szCs w:val="22"/>
                <w:highlight w:val="none"/>
                <w:lang w:val="en-US" w:eastAsia="zh-CN" w:bidi="ar-SA"/>
              </w:rPr>
            </w:pPr>
            <w:r>
              <w:rPr>
                <w:rFonts w:hint="eastAsia"/>
                <w:b/>
                <w:bCs/>
                <w:lang w:val="en-US" w:eastAsia="zh-CN"/>
              </w:rPr>
              <w:t>注：</w:t>
            </w:r>
            <w:r>
              <w:rPr>
                <w:rFonts w:hint="eastAsia"/>
                <w:b/>
                <w:bCs/>
              </w:rPr>
              <w:t>未提供方案或提供的内容与本项目无关的</w:t>
            </w:r>
            <w:r>
              <w:rPr>
                <w:rFonts w:hint="eastAsia"/>
                <w:b/>
                <w:bCs/>
                <w:lang w:val="en-US" w:eastAsia="zh-CN"/>
              </w:rPr>
              <w:t>不得分</w:t>
            </w:r>
            <w:r>
              <w:rPr>
                <w:rFonts w:hint="eastAsia"/>
                <w:b/>
                <w:bCs/>
                <w:lang w:eastAsia="zh-CN"/>
              </w:rPr>
              <w:t>。</w:t>
            </w:r>
          </w:p>
        </w:tc>
      </w:tr>
      <w:tr w14:paraId="59B4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41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505D66F">
            <w:pPr>
              <w:bidi w:val="0"/>
              <w:rPr>
                <w:color w:val="auto"/>
                <w:highlight w:val="none"/>
                <w:lang w:val="en-US"/>
              </w:rPr>
            </w:pPr>
            <w:r>
              <w:rPr>
                <w:rFonts w:hint="eastAsia"/>
                <w:color w:val="auto"/>
                <w:highlight w:val="none"/>
                <w:lang w:val="en-US" w:eastAsia="zh-CN"/>
              </w:rPr>
              <w:t>3</w:t>
            </w:r>
          </w:p>
        </w:tc>
        <w:tc>
          <w:tcPr>
            <w:tcW w:w="100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C60371">
            <w:pPr>
              <w:bidi w:val="0"/>
              <w:jc w:val="center"/>
              <w:rPr>
                <w:color w:val="auto"/>
                <w:highlight w:val="none"/>
                <w:lang w:val="en-US"/>
              </w:rPr>
            </w:pPr>
            <w:r>
              <w:rPr>
                <w:rFonts w:hint="eastAsia"/>
                <w:color w:val="auto"/>
                <w:highlight w:val="none"/>
                <w:lang w:val="en-US" w:eastAsia="zh-CN"/>
              </w:rPr>
              <w:t>商务分（满分15分）</w:t>
            </w:r>
          </w:p>
        </w:tc>
        <w:tc>
          <w:tcPr>
            <w:tcW w:w="1128" w:type="dxa"/>
            <w:tcBorders>
              <w:top w:val="single" w:color="auto" w:sz="4" w:space="0"/>
              <w:left w:val="single" w:color="auto" w:sz="4" w:space="0"/>
              <w:right w:val="single" w:color="auto" w:sz="4" w:space="0"/>
            </w:tcBorders>
            <w:noWrap w:val="0"/>
            <w:tcMar>
              <w:left w:w="57" w:type="dxa"/>
              <w:right w:w="57" w:type="dxa"/>
            </w:tcMar>
            <w:vAlign w:val="center"/>
          </w:tcPr>
          <w:p w14:paraId="339D4DB6">
            <w:pPr>
              <w:bidi w:val="0"/>
              <w:jc w:val="center"/>
              <w:rPr>
                <w:color w:val="auto"/>
                <w:highlight w:val="none"/>
                <w:lang w:val="en-US"/>
              </w:rPr>
            </w:pPr>
            <w:r>
              <w:rPr>
                <w:rFonts w:hint="eastAsia"/>
                <w:color w:val="auto"/>
                <w:highlight w:val="none"/>
                <w:lang w:val="en-US" w:eastAsia="zh-CN"/>
              </w:rPr>
              <w:t>履约能力</w:t>
            </w:r>
          </w:p>
          <w:p w14:paraId="75148274">
            <w:pPr>
              <w:bidi w:val="0"/>
              <w:jc w:val="center"/>
              <w:rPr>
                <w:rFonts w:hint="eastAsia"/>
                <w:color w:val="auto"/>
                <w:highlight w:val="none"/>
                <w:lang w:val="en-US" w:eastAsia="zh-CN"/>
              </w:rPr>
            </w:pPr>
            <w:r>
              <w:rPr>
                <w:rFonts w:hint="eastAsia"/>
                <w:color w:val="auto"/>
                <w:highlight w:val="none"/>
                <w:lang w:val="en-US" w:eastAsia="zh-CN"/>
              </w:rPr>
              <w:t>（满分8分）</w:t>
            </w:r>
          </w:p>
        </w:tc>
        <w:tc>
          <w:tcPr>
            <w:tcW w:w="8026" w:type="dxa"/>
            <w:tcBorders>
              <w:top w:val="single" w:color="auto" w:sz="4" w:space="0"/>
              <w:left w:val="single" w:color="auto" w:sz="4" w:space="0"/>
              <w:bottom w:val="single" w:color="auto" w:sz="4" w:space="0"/>
              <w:right w:val="single" w:color="auto" w:sz="4" w:space="0"/>
            </w:tcBorders>
            <w:noWrap w:val="0"/>
            <w:vAlign w:val="center"/>
          </w:tcPr>
          <w:p w14:paraId="5BFDC042">
            <w:pPr>
              <w:pStyle w:val="17"/>
              <w:bidi w:val="0"/>
              <w:ind w:left="0" w:leftChars="0" w:firstLine="0" w:firstLineChars="0"/>
              <w:rPr>
                <w:b w:val="0"/>
                <w:bCs w:val="0"/>
                <w:color w:val="auto"/>
                <w:highlight w:val="none"/>
                <w:lang w:val="en-US"/>
              </w:rPr>
            </w:pPr>
            <w:r>
              <w:rPr>
                <w:rFonts w:hint="eastAsia"/>
                <w:color w:val="auto"/>
                <w:highlight w:val="none"/>
                <w:lang w:val="en-US" w:eastAsia="zh-CN"/>
              </w:rPr>
              <w:t>（1）提供</w:t>
            </w:r>
            <w:r>
              <w:rPr>
                <w:rFonts w:hint="eastAsia"/>
                <w:b w:val="0"/>
                <w:bCs w:val="0"/>
                <w:color w:val="auto"/>
                <w:highlight w:val="none"/>
                <w:lang w:val="en-US" w:eastAsia="zh-CN"/>
              </w:rPr>
              <w:t>课堂教学类软件著作权证书扫描件，每一份得1分，满分4分。</w:t>
            </w:r>
          </w:p>
          <w:p w14:paraId="10F88EEC">
            <w:pPr>
              <w:pStyle w:val="17"/>
              <w:bidi w:val="0"/>
              <w:ind w:left="0" w:leftChars="0" w:firstLine="0" w:firstLineChars="0"/>
              <w:rPr>
                <w:rFonts w:hint="eastAsia"/>
                <w:b w:val="0"/>
                <w:bCs w:val="0"/>
                <w:color w:val="auto"/>
                <w:highlight w:val="none"/>
                <w:lang w:val="en-US" w:eastAsia="zh-CN"/>
              </w:rPr>
            </w:pPr>
            <w:r>
              <w:rPr>
                <w:rFonts w:hint="eastAsia"/>
                <w:b w:val="0"/>
                <w:bCs w:val="0"/>
                <w:color w:val="auto"/>
                <w:highlight w:val="none"/>
                <w:lang w:val="en-US" w:eastAsia="zh-CN"/>
              </w:rPr>
              <w:t>（2）提供网络教学系统类软件著作权证书扫描件，每一份得1分，满分4分。</w:t>
            </w:r>
          </w:p>
          <w:p w14:paraId="1125C6FD">
            <w:pPr>
              <w:pStyle w:val="17"/>
              <w:bidi w:val="0"/>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注：提供以上证书的清晰复印件，原件备查，并加盖报价人公章，提供不全或未提供不得分。</w:t>
            </w:r>
          </w:p>
        </w:tc>
      </w:tr>
      <w:tr w14:paraId="7647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65A2EA9">
            <w:pPr>
              <w:bidi w:val="0"/>
              <w:rPr>
                <w:rFonts w:hint="default"/>
                <w:color w:val="auto"/>
                <w:highlight w:val="none"/>
              </w:rPr>
            </w:pPr>
          </w:p>
        </w:tc>
        <w:tc>
          <w:tcPr>
            <w:tcW w:w="100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6869C0">
            <w:pPr>
              <w:bidi w:val="0"/>
              <w:jc w:val="center"/>
              <w:rPr>
                <w:rFonts w:hint="default"/>
                <w:color w:val="auto"/>
                <w:highlight w:val="none"/>
              </w:rPr>
            </w:pPr>
          </w:p>
        </w:tc>
        <w:tc>
          <w:tcPr>
            <w:tcW w:w="112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266A3D">
            <w:pPr>
              <w:bidi w:val="0"/>
              <w:jc w:val="center"/>
              <w:rPr>
                <w:rFonts w:hint="eastAsia"/>
                <w:color w:val="auto"/>
                <w:highlight w:val="none"/>
                <w:lang w:val="en-US" w:eastAsia="zh-CN"/>
              </w:rPr>
            </w:pPr>
            <w:r>
              <w:rPr>
                <w:rFonts w:hint="eastAsia"/>
                <w:color w:val="auto"/>
                <w:highlight w:val="none"/>
                <w:lang w:val="en-US" w:eastAsia="zh-CN"/>
              </w:rPr>
              <w:t>业绩</w:t>
            </w:r>
          </w:p>
          <w:p w14:paraId="7860E189">
            <w:pPr>
              <w:bidi w:val="0"/>
              <w:jc w:val="center"/>
              <w:rPr>
                <w:color w:val="auto"/>
                <w:highlight w:val="none"/>
                <w:lang w:val="en-US"/>
              </w:rPr>
            </w:pPr>
            <w:r>
              <w:rPr>
                <w:rFonts w:hint="eastAsia"/>
                <w:color w:val="auto"/>
                <w:highlight w:val="none"/>
                <w:lang w:val="en-US" w:eastAsia="zh-CN"/>
              </w:rPr>
              <w:t>（满分7）</w:t>
            </w:r>
          </w:p>
        </w:tc>
        <w:tc>
          <w:tcPr>
            <w:tcW w:w="8026" w:type="dxa"/>
            <w:tcBorders>
              <w:top w:val="single" w:color="auto" w:sz="4" w:space="0"/>
              <w:left w:val="single" w:color="auto" w:sz="4" w:space="0"/>
              <w:bottom w:val="single" w:color="auto" w:sz="4" w:space="0"/>
              <w:right w:val="single" w:color="auto" w:sz="4" w:space="0"/>
            </w:tcBorders>
            <w:noWrap w:val="0"/>
            <w:vAlign w:val="center"/>
          </w:tcPr>
          <w:p w14:paraId="2652E298">
            <w:pPr>
              <w:pStyle w:val="17"/>
              <w:bidi w:val="0"/>
              <w:rPr>
                <w:rFonts w:hint="eastAsia"/>
                <w:color w:val="auto"/>
                <w:highlight w:val="none"/>
                <w:lang w:val="en-US" w:eastAsia="zh-CN"/>
              </w:rPr>
            </w:pPr>
            <w:r>
              <w:rPr>
                <w:rFonts w:hint="eastAsia"/>
                <w:color w:val="auto"/>
                <w:highlight w:val="none"/>
                <w:lang w:val="en-US" w:eastAsia="zh-CN"/>
              </w:rPr>
              <w:t>2021年1月1日以来至投标截止时间（以合同签订时间为准）止，报价人每具有一个类似项目业绩得1分，满分7分</w:t>
            </w:r>
          </w:p>
          <w:p w14:paraId="76D06DAD">
            <w:pPr>
              <w:pStyle w:val="17"/>
              <w:bidi w:val="0"/>
              <w:rPr>
                <w:color w:val="auto"/>
                <w:highlight w:val="none"/>
                <w:lang w:val="en-US"/>
              </w:rPr>
            </w:pPr>
            <w:r>
              <w:rPr>
                <w:rFonts w:hint="eastAsia"/>
                <w:b/>
                <w:bCs/>
                <w:color w:val="auto"/>
                <w:highlight w:val="none"/>
                <w:lang w:val="en-US" w:eastAsia="zh-CN"/>
              </w:rPr>
              <w:t>注：须提供清晰有效的合同扫描件(含服务名称、服务内容、签名、签订合同时间），</w:t>
            </w:r>
            <w:r>
              <w:rPr>
                <w:rFonts w:hint="eastAsia"/>
                <w:b/>
                <w:bCs/>
              </w:rPr>
              <w:t>未提供</w:t>
            </w:r>
            <w:r>
              <w:rPr>
                <w:rFonts w:hint="eastAsia"/>
                <w:b/>
                <w:bCs/>
                <w:lang w:eastAsia="zh-CN"/>
              </w:rPr>
              <w:t>、</w:t>
            </w:r>
            <w:r>
              <w:rPr>
                <w:rFonts w:hint="eastAsia"/>
                <w:b/>
                <w:bCs/>
                <w:lang w:val="en-US" w:eastAsia="zh-CN"/>
              </w:rPr>
              <w:t>提供不全以及与</w:t>
            </w:r>
            <w:r>
              <w:rPr>
                <w:rFonts w:hint="eastAsia"/>
                <w:b/>
                <w:bCs/>
              </w:rPr>
              <w:t>本项目无关的</w:t>
            </w:r>
            <w:r>
              <w:rPr>
                <w:rFonts w:hint="eastAsia"/>
                <w:b/>
                <w:bCs/>
                <w:lang w:val="en-US" w:eastAsia="zh-CN"/>
              </w:rPr>
              <w:t>合同不得分</w:t>
            </w:r>
            <w:r>
              <w:rPr>
                <w:rFonts w:hint="eastAsia"/>
                <w:color w:val="auto"/>
                <w:highlight w:val="none"/>
                <w:lang w:val="en-US" w:eastAsia="zh-CN"/>
              </w:rPr>
              <w:t>。</w:t>
            </w:r>
          </w:p>
        </w:tc>
      </w:tr>
      <w:tr w14:paraId="6A96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578" w:type="dxa"/>
            <w:gridSpan w:val="4"/>
            <w:tcBorders>
              <w:top w:val="single" w:color="auto" w:sz="4" w:space="0"/>
              <w:left w:val="single" w:color="auto" w:sz="4" w:space="0"/>
              <w:bottom w:val="single" w:color="auto" w:sz="4" w:space="0"/>
              <w:right w:val="single" w:color="auto" w:sz="4" w:space="0"/>
            </w:tcBorders>
            <w:noWrap w:val="0"/>
            <w:vAlign w:val="center"/>
          </w:tcPr>
          <w:p w14:paraId="6B495861">
            <w:pPr>
              <w:bidi w:val="0"/>
              <w:rPr>
                <w:rFonts w:hint="default"/>
                <w:color w:val="auto"/>
                <w:highlight w:val="none"/>
                <w:lang w:val="en-US"/>
              </w:rPr>
            </w:pPr>
            <w:r>
              <w:rPr>
                <w:rFonts w:hint="eastAsia"/>
                <w:b/>
                <w:bCs/>
                <w:color w:val="auto"/>
                <w:highlight w:val="none"/>
                <w:lang w:val="en-US" w:eastAsia="zh-CN"/>
              </w:rPr>
              <w:t>总得分=1+2+3</w:t>
            </w:r>
          </w:p>
        </w:tc>
      </w:tr>
    </w:tbl>
    <w:p w14:paraId="591762F1">
      <w:pPr>
        <w:pStyle w:val="7"/>
        <w:jc w:val="center"/>
        <w:rPr>
          <w:rFonts w:hint="eastAsia"/>
          <w:sz w:val="32"/>
          <w:szCs w:val="36"/>
          <w:lang w:val="en-US" w:eastAsia="zh-CN"/>
        </w:rPr>
      </w:pPr>
    </w:p>
    <w:p w14:paraId="131E97D0">
      <w:pPr>
        <w:pStyle w:val="7"/>
        <w:jc w:val="center"/>
        <w:rPr>
          <w:b/>
          <w:sz w:val="44"/>
          <w:szCs w:val="36"/>
        </w:rPr>
      </w:pPr>
      <w:bookmarkStart w:id="0" w:name="_Toc254970556"/>
      <w:bookmarkStart w:id="1" w:name="_Toc254970697"/>
      <w:bookmarkStart w:id="2" w:name="_Toc107424598"/>
      <w:r>
        <w:rPr>
          <w:rFonts w:hint="eastAsia"/>
          <w:b/>
          <w:sz w:val="44"/>
          <w:szCs w:val="36"/>
        </w:rPr>
        <w:t>报价文件格式</w:t>
      </w:r>
    </w:p>
    <w:p w14:paraId="33AB4495">
      <w:pPr>
        <w:pStyle w:val="7"/>
        <w:jc w:val="left"/>
        <w:rPr>
          <w:b/>
          <w:sz w:val="44"/>
          <w:szCs w:val="36"/>
        </w:rPr>
      </w:pPr>
      <w:r>
        <w:rPr>
          <w:rFonts w:hint="eastAsia"/>
          <w:b/>
          <w:sz w:val="44"/>
          <w:szCs w:val="36"/>
        </w:rPr>
        <w:t>一、资格证明文件格式</w:t>
      </w:r>
    </w:p>
    <w:p w14:paraId="70F85113">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6F24A119">
      <w:pPr>
        <w:spacing w:line="440" w:lineRule="exact"/>
        <w:ind w:firstLine="560" w:firstLineChars="200"/>
        <w:jc w:val="left"/>
        <w:rPr>
          <w:rFonts w:ascii="宋体" w:hAnsi="Times New Roman" w:eastAsia="仿宋" w:cs="Times New Roman"/>
          <w:sz w:val="28"/>
          <w:szCs w:val="21"/>
        </w:rPr>
      </w:pPr>
    </w:p>
    <w:p w14:paraId="298AC690">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34CC9A3">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4004035B">
      <w:pPr>
        <w:snapToGrid w:val="0"/>
        <w:spacing w:line="276" w:lineRule="auto"/>
        <w:ind w:firstLine="720" w:firstLineChars="200"/>
        <w:jc w:val="left"/>
        <w:rPr>
          <w:rFonts w:ascii="宋体" w:hAnsi="宋体" w:eastAsia="仿宋" w:cs="Times New Roman"/>
          <w:bCs/>
          <w:sz w:val="36"/>
          <w:szCs w:val="36"/>
        </w:rPr>
      </w:pPr>
    </w:p>
    <w:p w14:paraId="1F0AE34E">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11B92359">
      <w:pPr>
        <w:snapToGrid w:val="0"/>
        <w:spacing w:line="276" w:lineRule="auto"/>
        <w:ind w:firstLine="720" w:firstLineChars="200"/>
        <w:jc w:val="left"/>
        <w:rPr>
          <w:rFonts w:ascii="宋体" w:hAnsi="宋体" w:eastAsia="仿宋" w:cs="Times New Roman"/>
          <w:bCs/>
          <w:sz w:val="36"/>
          <w:szCs w:val="36"/>
        </w:rPr>
      </w:pPr>
    </w:p>
    <w:p w14:paraId="316D6C3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4F521411">
      <w:pPr>
        <w:snapToGrid w:val="0"/>
        <w:spacing w:line="276" w:lineRule="auto"/>
        <w:ind w:firstLine="720" w:firstLineChars="200"/>
        <w:jc w:val="left"/>
        <w:rPr>
          <w:rFonts w:ascii="宋体" w:hAnsi="宋体" w:eastAsia="仿宋" w:cs="Times New Roman"/>
          <w:bCs/>
          <w:sz w:val="36"/>
          <w:szCs w:val="36"/>
        </w:rPr>
      </w:pPr>
    </w:p>
    <w:p w14:paraId="24F889BB">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39AD7448">
      <w:pPr>
        <w:snapToGrid w:val="0"/>
        <w:spacing w:line="276" w:lineRule="auto"/>
        <w:ind w:firstLine="540" w:firstLineChars="150"/>
        <w:jc w:val="center"/>
        <w:rPr>
          <w:rFonts w:ascii="宋体" w:hAnsi="宋体" w:eastAsia="仿宋" w:cs="Times New Roman"/>
          <w:bCs/>
          <w:sz w:val="36"/>
          <w:szCs w:val="36"/>
        </w:rPr>
      </w:pPr>
    </w:p>
    <w:p w14:paraId="10458EE3">
      <w:pPr>
        <w:pStyle w:val="7"/>
        <w:jc w:val="center"/>
        <w:rPr>
          <w:b/>
          <w:sz w:val="44"/>
          <w:szCs w:val="36"/>
        </w:rPr>
      </w:pPr>
    </w:p>
    <w:p w14:paraId="74C792E9">
      <w:pPr>
        <w:pStyle w:val="7"/>
        <w:jc w:val="center"/>
        <w:rPr>
          <w:b/>
          <w:sz w:val="44"/>
          <w:szCs w:val="36"/>
        </w:rPr>
      </w:pPr>
    </w:p>
    <w:p w14:paraId="16B6A039">
      <w:pPr>
        <w:pStyle w:val="7"/>
        <w:jc w:val="center"/>
        <w:rPr>
          <w:b/>
          <w:sz w:val="44"/>
          <w:szCs w:val="36"/>
        </w:rPr>
      </w:pPr>
    </w:p>
    <w:p w14:paraId="11A9D578">
      <w:pPr>
        <w:pStyle w:val="7"/>
        <w:jc w:val="center"/>
        <w:rPr>
          <w:b/>
          <w:sz w:val="44"/>
          <w:szCs w:val="36"/>
        </w:rPr>
      </w:pPr>
    </w:p>
    <w:p w14:paraId="1C9E5D90">
      <w:pPr>
        <w:pStyle w:val="7"/>
        <w:jc w:val="center"/>
        <w:rPr>
          <w:b/>
          <w:sz w:val="44"/>
          <w:szCs w:val="36"/>
        </w:rPr>
      </w:pPr>
    </w:p>
    <w:p w14:paraId="408866ED">
      <w:pPr>
        <w:pStyle w:val="7"/>
        <w:jc w:val="center"/>
        <w:rPr>
          <w:b/>
          <w:sz w:val="44"/>
          <w:szCs w:val="36"/>
        </w:rPr>
      </w:pPr>
    </w:p>
    <w:p w14:paraId="47D90164">
      <w:pPr>
        <w:pStyle w:val="7"/>
        <w:jc w:val="center"/>
        <w:rPr>
          <w:b/>
          <w:sz w:val="44"/>
          <w:szCs w:val="36"/>
        </w:rPr>
      </w:pPr>
    </w:p>
    <w:p w14:paraId="5CDCD113">
      <w:pPr>
        <w:pStyle w:val="7"/>
        <w:jc w:val="center"/>
        <w:rPr>
          <w:b/>
          <w:sz w:val="44"/>
          <w:szCs w:val="36"/>
        </w:rPr>
      </w:pPr>
    </w:p>
    <w:p w14:paraId="6198D94C">
      <w:pPr>
        <w:pStyle w:val="7"/>
        <w:jc w:val="center"/>
        <w:rPr>
          <w:b/>
          <w:sz w:val="44"/>
          <w:szCs w:val="36"/>
        </w:rPr>
      </w:pPr>
    </w:p>
    <w:p w14:paraId="3CD410D3">
      <w:pPr>
        <w:pStyle w:val="7"/>
        <w:jc w:val="center"/>
        <w:rPr>
          <w:b/>
          <w:sz w:val="44"/>
          <w:szCs w:val="36"/>
        </w:rPr>
      </w:pPr>
    </w:p>
    <w:p w14:paraId="77DE227F">
      <w:pPr>
        <w:jc w:val="left"/>
        <w:outlineLvl w:val="1"/>
        <w:rPr>
          <w:rFonts w:ascii="宋体" w:hAnsi="宋体" w:eastAsia="宋体" w:cs="Times New Roman"/>
          <w:b/>
          <w:sz w:val="44"/>
          <w:szCs w:val="24"/>
        </w:rPr>
      </w:pPr>
      <w:r>
        <w:rPr>
          <w:rFonts w:hint="eastAsia" w:ascii="宋体" w:hAnsi="Times New Roman" w:eastAsia="仿宋" w:cs="Times New Roman"/>
          <w:b/>
          <w:sz w:val="36"/>
          <w:szCs w:val="36"/>
        </w:rPr>
        <w:t>2.响应文件（资格文件、报价文件、商务技术文件）封面（格式）：</w:t>
      </w:r>
    </w:p>
    <w:p w14:paraId="5F326E58">
      <w:pPr>
        <w:snapToGrid w:val="0"/>
        <w:spacing w:before="156" w:beforeLines="50" w:after="50" w:line="360" w:lineRule="exact"/>
        <w:ind w:firstLine="3278" w:firstLineChars="742"/>
        <w:rPr>
          <w:rFonts w:ascii="宋体" w:hAnsi="宋体" w:eastAsia="宋体" w:cs="Times New Roman"/>
          <w:b/>
          <w:sz w:val="44"/>
          <w:szCs w:val="24"/>
        </w:rPr>
      </w:pPr>
    </w:p>
    <w:p w14:paraId="7D3D873B">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094579A5">
      <w:pPr>
        <w:snapToGrid w:val="0"/>
        <w:spacing w:before="156" w:beforeLines="50" w:after="50" w:line="360" w:lineRule="exact"/>
        <w:ind w:firstLine="3278" w:firstLineChars="742"/>
        <w:rPr>
          <w:rFonts w:ascii="宋体" w:hAnsi="宋体" w:eastAsia="宋体" w:cs="Times New Roman"/>
          <w:b/>
          <w:sz w:val="44"/>
          <w:szCs w:val="24"/>
        </w:rPr>
      </w:pPr>
    </w:p>
    <w:p w14:paraId="28D1C78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0E716031">
      <w:pPr>
        <w:snapToGrid w:val="0"/>
        <w:spacing w:before="156" w:beforeLines="50" w:after="50" w:line="360" w:lineRule="exact"/>
        <w:rPr>
          <w:rFonts w:ascii="宋体" w:hAnsi="宋体" w:eastAsia="宋体" w:cs="Times New Roman"/>
          <w:szCs w:val="24"/>
        </w:rPr>
      </w:pPr>
    </w:p>
    <w:p w14:paraId="464FFB30">
      <w:pPr>
        <w:snapToGrid w:val="0"/>
        <w:spacing w:before="156" w:beforeLines="50" w:after="50" w:line="360" w:lineRule="exact"/>
        <w:rPr>
          <w:rFonts w:ascii="宋体" w:hAnsi="宋体" w:eastAsia="宋体" w:cs="Times New Roman"/>
          <w:szCs w:val="24"/>
        </w:rPr>
      </w:pPr>
    </w:p>
    <w:p w14:paraId="53D1A85C">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690DB916">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447D9AAA">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4C7E9F8D">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056E951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400C852F">
      <w:pPr>
        <w:snapToGrid w:val="0"/>
        <w:spacing w:line="1000" w:lineRule="exact"/>
        <w:ind w:firstLine="900" w:firstLineChars="300"/>
        <w:rPr>
          <w:rFonts w:ascii="宋体" w:hAnsi="宋体" w:eastAsia="宋体" w:cs="Times New Roman"/>
          <w:bCs/>
          <w:sz w:val="30"/>
          <w:szCs w:val="28"/>
          <w:u w:val="single"/>
        </w:rPr>
      </w:pPr>
    </w:p>
    <w:p w14:paraId="502C10BB">
      <w:pPr>
        <w:snapToGrid w:val="0"/>
        <w:spacing w:before="156" w:beforeLines="50" w:after="50" w:line="360" w:lineRule="exact"/>
        <w:ind w:firstLine="5100" w:firstLineChars="1700"/>
        <w:rPr>
          <w:rFonts w:ascii="宋体" w:hAnsi="宋体" w:eastAsia="宋体" w:cs="Times New Roman"/>
          <w:bCs/>
          <w:sz w:val="30"/>
          <w:szCs w:val="28"/>
        </w:rPr>
      </w:pPr>
    </w:p>
    <w:p w14:paraId="5795C08D">
      <w:pPr>
        <w:snapToGrid w:val="0"/>
        <w:spacing w:before="156" w:beforeLines="50" w:after="50" w:line="360" w:lineRule="exact"/>
        <w:ind w:firstLine="645"/>
        <w:jc w:val="center"/>
        <w:rPr>
          <w:rFonts w:ascii="宋体" w:hAnsi="宋体" w:eastAsia="宋体" w:cs="Times New Roman"/>
          <w:bCs/>
          <w:sz w:val="30"/>
          <w:szCs w:val="28"/>
        </w:rPr>
      </w:pPr>
    </w:p>
    <w:p w14:paraId="3CC24420">
      <w:pPr>
        <w:snapToGrid w:val="0"/>
        <w:spacing w:before="156" w:beforeLines="50" w:after="50" w:line="360" w:lineRule="exact"/>
        <w:ind w:firstLine="645"/>
        <w:jc w:val="center"/>
        <w:rPr>
          <w:rFonts w:ascii="宋体" w:hAnsi="宋体" w:eastAsia="宋体" w:cs="Times New Roman"/>
          <w:bCs/>
          <w:sz w:val="30"/>
          <w:szCs w:val="28"/>
        </w:rPr>
      </w:pPr>
    </w:p>
    <w:p w14:paraId="5C95BF8D">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1321D640">
      <w:pPr>
        <w:pStyle w:val="7"/>
        <w:rPr>
          <w:sz w:val="24"/>
          <w:szCs w:val="24"/>
        </w:rPr>
      </w:pPr>
    </w:p>
    <w:p w14:paraId="197CDD94">
      <w:pPr>
        <w:pStyle w:val="7"/>
        <w:rPr>
          <w:sz w:val="24"/>
          <w:szCs w:val="24"/>
        </w:rPr>
      </w:pPr>
    </w:p>
    <w:p w14:paraId="30551B87">
      <w:pPr>
        <w:pStyle w:val="7"/>
        <w:rPr>
          <w:sz w:val="24"/>
          <w:szCs w:val="24"/>
        </w:rPr>
      </w:pPr>
    </w:p>
    <w:p w14:paraId="2A37A5A2">
      <w:pPr>
        <w:pStyle w:val="7"/>
        <w:rPr>
          <w:sz w:val="24"/>
          <w:szCs w:val="24"/>
        </w:rPr>
      </w:pPr>
    </w:p>
    <w:p w14:paraId="4BC9DE1F">
      <w:pPr>
        <w:pStyle w:val="7"/>
        <w:rPr>
          <w:sz w:val="24"/>
          <w:szCs w:val="24"/>
        </w:rPr>
      </w:pPr>
    </w:p>
    <w:p w14:paraId="414AA265">
      <w:pPr>
        <w:pStyle w:val="7"/>
        <w:rPr>
          <w:sz w:val="24"/>
          <w:szCs w:val="24"/>
        </w:rPr>
      </w:pPr>
    </w:p>
    <w:p w14:paraId="61A93E1B">
      <w:pPr>
        <w:pStyle w:val="7"/>
        <w:rPr>
          <w:sz w:val="24"/>
          <w:szCs w:val="24"/>
        </w:rPr>
      </w:pPr>
    </w:p>
    <w:p w14:paraId="6BE76484">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7C97FF69">
      <w:pPr>
        <w:jc w:val="left"/>
        <w:outlineLvl w:val="1"/>
        <w:rPr>
          <w:rFonts w:ascii="仿宋" w:hAnsi="仿宋" w:eastAsia="仿宋" w:cs="Times New Roman"/>
          <w:b/>
          <w:sz w:val="36"/>
          <w:szCs w:val="21"/>
        </w:rPr>
      </w:pPr>
    </w:p>
    <w:p w14:paraId="59F38BFC">
      <w:pPr>
        <w:jc w:val="left"/>
        <w:outlineLvl w:val="1"/>
        <w:rPr>
          <w:rFonts w:ascii="仿宋" w:hAnsi="仿宋" w:eastAsia="仿宋" w:cs="Times New Roman"/>
          <w:b/>
          <w:sz w:val="36"/>
          <w:szCs w:val="21"/>
        </w:rPr>
      </w:pPr>
    </w:p>
    <w:p w14:paraId="20A555F3">
      <w:pPr>
        <w:pStyle w:val="7"/>
      </w:pPr>
    </w:p>
    <w:p w14:paraId="49AF3392">
      <w:pPr>
        <w:pStyle w:val="7"/>
      </w:pPr>
    </w:p>
    <w:p w14:paraId="56581FC6">
      <w:pPr>
        <w:pStyle w:val="7"/>
      </w:pPr>
    </w:p>
    <w:p w14:paraId="4F96941A">
      <w:pPr>
        <w:pStyle w:val="7"/>
      </w:pPr>
    </w:p>
    <w:p w14:paraId="5CE025AC">
      <w:pPr>
        <w:pStyle w:val="7"/>
      </w:pPr>
    </w:p>
    <w:p w14:paraId="2861AA5B">
      <w:pPr>
        <w:pStyle w:val="7"/>
      </w:pPr>
    </w:p>
    <w:p w14:paraId="1508AF70">
      <w:pPr>
        <w:pStyle w:val="7"/>
      </w:pPr>
    </w:p>
    <w:p w14:paraId="5880D7C4">
      <w:pPr>
        <w:pStyle w:val="7"/>
      </w:pPr>
    </w:p>
    <w:p w14:paraId="6C76DC13">
      <w:pPr>
        <w:pStyle w:val="7"/>
      </w:pPr>
    </w:p>
    <w:p w14:paraId="6E3AB78C">
      <w:pPr>
        <w:pStyle w:val="7"/>
      </w:pPr>
    </w:p>
    <w:p w14:paraId="0C2BED31">
      <w:pPr>
        <w:pStyle w:val="7"/>
      </w:pPr>
    </w:p>
    <w:p w14:paraId="58AA9FE7">
      <w:pPr>
        <w:pStyle w:val="7"/>
      </w:pPr>
    </w:p>
    <w:p w14:paraId="46907CFF">
      <w:pPr>
        <w:pStyle w:val="7"/>
      </w:pPr>
    </w:p>
    <w:p w14:paraId="47246D80">
      <w:pPr>
        <w:pStyle w:val="7"/>
      </w:pPr>
    </w:p>
    <w:p w14:paraId="0A38C7F3">
      <w:pPr>
        <w:pStyle w:val="7"/>
      </w:pPr>
    </w:p>
    <w:p w14:paraId="32F3FE4E">
      <w:pPr>
        <w:pStyle w:val="7"/>
      </w:pPr>
    </w:p>
    <w:p w14:paraId="5D53D3CC">
      <w:pPr>
        <w:pStyle w:val="7"/>
      </w:pPr>
    </w:p>
    <w:p w14:paraId="5F5AB3F5">
      <w:pPr>
        <w:pStyle w:val="7"/>
      </w:pPr>
    </w:p>
    <w:p w14:paraId="11F7E4DD">
      <w:pPr>
        <w:pStyle w:val="7"/>
      </w:pPr>
    </w:p>
    <w:p w14:paraId="17FF9C5C">
      <w:pPr>
        <w:pStyle w:val="7"/>
      </w:pPr>
    </w:p>
    <w:p w14:paraId="63EF20BC">
      <w:pPr>
        <w:pStyle w:val="7"/>
      </w:pPr>
    </w:p>
    <w:p w14:paraId="7288321E">
      <w:pPr>
        <w:pStyle w:val="7"/>
      </w:pPr>
    </w:p>
    <w:p w14:paraId="28ED81E0">
      <w:pPr>
        <w:pStyle w:val="7"/>
      </w:pPr>
    </w:p>
    <w:p w14:paraId="4C9F878E">
      <w:pPr>
        <w:pStyle w:val="7"/>
      </w:pPr>
    </w:p>
    <w:p w14:paraId="21587E76">
      <w:pPr>
        <w:pStyle w:val="7"/>
      </w:pPr>
    </w:p>
    <w:p w14:paraId="0C8334AE">
      <w:pPr>
        <w:pStyle w:val="7"/>
      </w:pPr>
    </w:p>
    <w:p w14:paraId="639295B1">
      <w:pPr>
        <w:pStyle w:val="7"/>
      </w:pPr>
    </w:p>
    <w:p w14:paraId="42BB5541">
      <w:pPr>
        <w:pStyle w:val="7"/>
      </w:pPr>
    </w:p>
    <w:p w14:paraId="4003C13B">
      <w:pPr>
        <w:pStyle w:val="7"/>
      </w:pPr>
    </w:p>
    <w:p w14:paraId="549A365D">
      <w:pPr>
        <w:pStyle w:val="7"/>
      </w:pPr>
    </w:p>
    <w:p w14:paraId="321380CF">
      <w:pPr>
        <w:pStyle w:val="7"/>
        <w:rPr>
          <w:rFonts w:ascii="仿宋" w:hAnsi="仿宋" w:eastAsia="仿宋"/>
          <w:b/>
          <w:sz w:val="36"/>
          <w:szCs w:val="36"/>
        </w:rPr>
      </w:pPr>
      <w:r>
        <w:rPr>
          <w:rFonts w:hint="eastAsia" w:ascii="仿宋" w:hAnsi="仿宋" w:eastAsia="仿宋"/>
          <w:b/>
          <w:sz w:val="36"/>
          <w:szCs w:val="36"/>
        </w:rPr>
        <w:t>4.法定代表人身份证明</w:t>
      </w:r>
    </w:p>
    <w:p w14:paraId="53FB093E">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662EEB48">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2001A69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4E6689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5DBE377">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B59DC8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36B52CA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123A431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6AC86D3C">
      <w:pPr>
        <w:spacing w:line="360" w:lineRule="auto"/>
        <w:ind w:left="540"/>
        <w:jc w:val="left"/>
        <w:rPr>
          <w:rFonts w:ascii="仿宋" w:hAnsi="仿宋" w:eastAsia="仿宋" w:cs="Times New Roman"/>
          <w:sz w:val="30"/>
          <w:szCs w:val="30"/>
        </w:rPr>
      </w:pPr>
    </w:p>
    <w:p w14:paraId="51BDA9D1">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48487202">
      <w:pPr>
        <w:spacing w:line="360" w:lineRule="auto"/>
        <w:ind w:left="540"/>
        <w:jc w:val="left"/>
        <w:rPr>
          <w:rFonts w:ascii="仿宋" w:hAnsi="仿宋" w:eastAsia="仿宋" w:cs="Times New Roman"/>
          <w:sz w:val="30"/>
          <w:szCs w:val="30"/>
        </w:rPr>
      </w:pPr>
    </w:p>
    <w:p w14:paraId="7BEEC6B5">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714E9024">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18F5BF54">
      <w:pPr>
        <w:pStyle w:val="7"/>
      </w:pPr>
    </w:p>
    <w:p w14:paraId="41F5DBA4">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3DCA9968">
      <w:pPr>
        <w:snapToGrid w:val="0"/>
        <w:spacing w:before="156" w:beforeLines="50" w:after="50" w:line="360" w:lineRule="auto"/>
        <w:jc w:val="center"/>
        <w:rPr>
          <w:rFonts w:ascii="仿宋" w:hAnsi="仿宋" w:eastAsia="仿宋" w:cs="Times New Roman"/>
          <w:b/>
          <w:sz w:val="30"/>
          <w:szCs w:val="30"/>
        </w:rPr>
      </w:pPr>
    </w:p>
    <w:p w14:paraId="3EC0C490">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0C451185">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0186F32B">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2B07838A">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36BA4E06">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326707C2">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38E81948">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4EC87C2">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2897C02F">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698BAA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0D96F8A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1554CA43">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7CB7A1A6">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2E87B77A">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98A9792">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1630C01">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7B5664D5">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0E11358">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06A3A5FE">
      <w:pPr>
        <w:pStyle w:val="7"/>
      </w:pPr>
    </w:p>
    <w:p w14:paraId="5D454EBB">
      <w:pPr>
        <w:jc w:val="left"/>
        <w:outlineLvl w:val="1"/>
        <w:rPr>
          <w:rFonts w:ascii="仿宋" w:hAnsi="仿宋" w:eastAsia="仿宋" w:cs="Times New Roman"/>
          <w:b/>
          <w:sz w:val="36"/>
          <w:szCs w:val="21"/>
        </w:rPr>
      </w:pPr>
    </w:p>
    <w:p w14:paraId="152076A0">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1CAC48A5">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E6FF5">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5B778501">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7524D435">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33041D">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770D8EB8">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23DCE164">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5EECA282">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3AA4789E">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11C804F3">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45725D5">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3508E36">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3293CB69">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224608CB">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380E7C34">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6850D690">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49CB9AC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111BBD63">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00F88159">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A891075">
      <w:pPr>
        <w:spacing w:line="480" w:lineRule="exact"/>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 xml:space="preserve">9.以上事项如有虚假或者隐瞒，我方愿意承担一切后果，并不再寻求任何旨在减轻或者免除法律责任的辩解。    </w:t>
      </w:r>
    </w:p>
    <w:p w14:paraId="44F0C2D7">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特此承诺。</w:t>
      </w:r>
    </w:p>
    <w:p w14:paraId="683AB1E2">
      <w:pPr>
        <w:tabs>
          <w:tab w:val="left" w:pos="5529"/>
        </w:tabs>
        <w:wordWrap w:val="0"/>
        <w:spacing w:line="360" w:lineRule="auto"/>
        <w:jc w:val="right"/>
        <w:rPr>
          <w:rFonts w:hint="eastAsia" w:ascii="仿宋" w:hAnsi="仿宋" w:eastAsia="仿宋" w:cs="Times New Roman"/>
          <w:sz w:val="30"/>
          <w:szCs w:val="30"/>
        </w:rPr>
      </w:pPr>
    </w:p>
    <w:p w14:paraId="43A10826">
      <w:pPr>
        <w:tabs>
          <w:tab w:val="left" w:pos="5529"/>
        </w:tabs>
        <w:wordWrap w:val="0"/>
        <w:spacing w:line="360" w:lineRule="auto"/>
        <w:jc w:val="right"/>
        <w:rPr>
          <w:rFonts w:hint="eastAsia" w:ascii="仿宋" w:hAnsi="仿宋" w:eastAsia="仿宋" w:cs="Times New Roman"/>
          <w:sz w:val="30"/>
          <w:szCs w:val="30"/>
        </w:rPr>
      </w:pPr>
    </w:p>
    <w:p w14:paraId="35298160">
      <w:pPr>
        <w:tabs>
          <w:tab w:val="left" w:pos="5529"/>
        </w:tabs>
        <w:wordWrap w:val="0"/>
        <w:spacing w:line="360" w:lineRule="auto"/>
        <w:jc w:val="right"/>
        <w:rPr>
          <w:rFonts w:hint="eastAsia" w:ascii="仿宋" w:hAnsi="仿宋" w:eastAsia="仿宋" w:cs="Times New Roman"/>
          <w:sz w:val="30"/>
          <w:szCs w:val="30"/>
        </w:rPr>
      </w:pPr>
    </w:p>
    <w:p w14:paraId="3962FD85">
      <w:pPr>
        <w:tabs>
          <w:tab w:val="left" w:pos="5529"/>
        </w:tabs>
        <w:wordWrap w:val="0"/>
        <w:spacing w:line="360" w:lineRule="auto"/>
        <w:jc w:val="right"/>
        <w:rPr>
          <w:rFonts w:hint="eastAsia" w:ascii="仿宋" w:hAnsi="仿宋" w:eastAsia="仿宋" w:cs="Times New Roman"/>
          <w:sz w:val="30"/>
          <w:szCs w:val="30"/>
        </w:rPr>
      </w:pPr>
    </w:p>
    <w:p w14:paraId="039CF70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921869A">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34392787">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69A0491C">
      <w:pPr>
        <w:jc w:val="left"/>
        <w:outlineLvl w:val="1"/>
        <w:rPr>
          <w:rFonts w:ascii="仿宋" w:hAnsi="仿宋" w:eastAsia="仿宋" w:cs="Times New Roman"/>
          <w:b/>
          <w:sz w:val="36"/>
          <w:szCs w:val="21"/>
        </w:rPr>
      </w:pPr>
    </w:p>
    <w:p w14:paraId="0FB3B953">
      <w:pPr>
        <w:jc w:val="left"/>
        <w:outlineLvl w:val="1"/>
        <w:rPr>
          <w:rFonts w:hint="eastAsia" w:ascii="仿宋" w:hAnsi="仿宋" w:eastAsia="仿宋" w:cs="Times New Roman"/>
          <w:b/>
          <w:sz w:val="36"/>
          <w:szCs w:val="21"/>
        </w:rPr>
      </w:pPr>
    </w:p>
    <w:p w14:paraId="5B2BC94C">
      <w:pPr>
        <w:jc w:val="left"/>
        <w:outlineLvl w:val="1"/>
        <w:rPr>
          <w:rFonts w:hint="eastAsia" w:ascii="仿宋" w:hAnsi="仿宋" w:eastAsia="仿宋" w:cs="Times New Roman"/>
          <w:b/>
          <w:sz w:val="36"/>
          <w:szCs w:val="21"/>
        </w:rPr>
      </w:pPr>
    </w:p>
    <w:p w14:paraId="269C201E">
      <w:pPr>
        <w:jc w:val="left"/>
        <w:outlineLvl w:val="1"/>
        <w:rPr>
          <w:rFonts w:hint="eastAsia" w:ascii="仿宋" w:hAnsi="仿宋" w:eastAsia="仿宋" w:cs="Times New Roman"/>
          <w:b/>
          <w:sz w:val="36"/>
          <w:szCs w:val="21"/>
        </w:rPr>
      </w:pPr>
    </w:p>
    <w:p w14:paraId="6E830529">
      <w:pPr>
        <w:jc w:val="left"/>
        <w:outlineLvl w:val="1"/>
        <w:rPr>
          <w:rFonts w:hint="eastAsia" w:ascii="仿宋" w:hAnsi="仿宋" w:eastAsia="仿宋" w:cs="Times New Roman"/>
          <w:b/>
          <w:sz w:val="36"/>
          <w:szCs w:val="21"/>
        </w:rPr>
      </w:pPr>
    </w:p>
    <w:p w14:paraId="64B653F8">
      <w:pPr>
        <w:keepNext w:val="0"/>
        <w:keepLines w:val="0"/>
        <w:pageBreakBefore w:val="0"/>
        <w:widowControl w:val="0"/>
        <w:kinsoku/>
        <w:overflowPunct/>
        <w:topLinePunct w:val="0"/>
        <w:autoSpaceDE/>
        <w:autoSpaceDN/>
        <w:bidi w:val="0"/>
        <w:adjustRightInd/>
        <w:spacing w:line="560" w:lineRule="exact"/>
        <w:jc w:val="left"/>
        <w:textAlignment w:val="auto"/>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195E76C1">
      <w:pPr>
        <w:keepNext w:val="0"/>
        <w:keepLines w:val="0"/>
        <w:pageBreakBefore w:val="0"/>
        <w:widowControl w:val="0"/>
        <w:kinsoku/>
        <w:overflowPunct/>
        <w:topLinePunct w:val="0"/>
        <w:autoSpaceDE/>
        <w:autoSpaceDN/>
        <w:bidi w:val="0"/>
        <w:adjustRightInd/>
        <w:snapToGrid w:val="0"/>
        <w:spacing w:before="312" w:beforeLines="100" w:after="312" w:afterLines="100" w:line="560" w:lineRule="exact"/>
        <w:jc w:val="center"/>
        <w:textAlignment w:val="auto"/>
        <w:rPr>
          <w:b/>
          <w:sz w:val="40"/>
          <w:szCs w:val="44"/>
        </w:rPr>
      </w:pPr>
      <w:r>
        <w:rPr>
          <w:rFonts w:hint="eastAsia"/>
          <w:b/>
          <w:sz w:val="40"/>
          <w:szCs w:val="44"/>
        </w:rPr>
        <w:t>报价人参加本项目无围标串标行为的承诺函</w:t>
      </w:r>
    </w:p>
    <w:p w14:paraId="3BC8AC54">
      <w:pPr>
        <w:keepNext w:val="0"/>
        <w:keepLines w:val="0"/>
        <w:pageBreakBefore w:val="0"/>
        <w:widowControl w:val="0"/>
        <w:kinsoku/>
        <w:overflowPunct/>
        <w:topLinePunct w:val="0"/>
        <w:autoSpaceDE/>
        <w:autoSpaceDN/>
        <w:bidi w:val="0"/>
        <w:adjustRightInd/>
        <w:spacing w:line="560" w:lineRule="exact"/>
        <w:contextualSpacing/>
        <w:textAlignment w:val="auto"/>
        <w:rPr>
          <w:rFonts w:ascii="仿宋" w:hAnsi="仿宋"/>
          <w:b/>
          <w:sz w:val="30"/>
          <w:szCs w:val="30"/>
        </w:rPr>
      </w:pPr>
      <w:r>
        <w:rPr>
          <w:rFonts w:hint="eastAsia" w:ascii="仿宋" w:hAnsi="仿宋"/>
          <w:b/>
          <w:sz w:val="30"/>
          <w:szCs w:val="30"/>
        </w:rPr>
        <w:t>一、我方承诺无下列相互串通投标的情形：</w:t>
      </w:r>
    </w:p>
    <w:p w14:paraId="08371561">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 xml:space="preserve">1.不同报价人的投标文件由同一单位或者个人编制； </w:t>
      </w:r>
    </w:p>
    <w:p w14:paraId="55D43B15">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2.不同报价人委托同一单位或者个人办理投标事宜；</w:t>
      </w:r>
    </w:p>
    <w:p w14:paraId="008F3729">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3.不同报价人的报价文件载明的项目管理员为同一个人；</w:t>
      </w:r>
    </w:p>
    <w:p w14:paraId="0F30D2DB">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4.不同报价人的报价文件异常一致或者投标报价呈规律性差异；</w:t>
      </w:r>
    </w:p>
    <w:p w14:paraId="5A5329EF">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5.不同报价人的报价文件相互混装；</w:t>
      </w:r>
    </w:p>
    <w:p w14:paraId="569A576F">
      <w:pPr>
        <w:keepNext w:val="0"/>
        <w:keepLines w:val="0"/>
        <w:pageBreakBefore w:val="0"/>
        <w:widowControl w:val="0"/>
        <w:kinsoku/>
        <w:overflowPunct/>
        <w:topLinePunct w:val="0"/>
        <w:autoSpaceDE/>
        <w:autoSpaceDN/>
        <w:bidi w:val="0"/>
        <w:adjustRightInd/>
        <w:spacing w:line="560" w:lineRule="exact"/>
        <w:contextualSpacing/>
        <w:textAlignment w:val="auto"/>
        <w:rPr>
          <w:rFonts w:ascii="仿宋" w:hAnsi="仿宋"/>
          <w:sz w:val="30"/>
          <w:szCs w:val="30"/>
        </w:rPr>
      </w:pPr>
      <w:r>
        <w:rPr>
          <w:rFonts w:hint="eastAsia" w:ascii="仿宋" w:hAnsi="仿宋"/>
          <w:b/>
          <w:sz w:val="30"/>
          <w:szCs w:val="30"/>
        </w:rPr>
        <w:t>二、我方承诺无下列恶意串通的情形：</w:t>
      </w:r>
    </w:p>
    <w:p w14:paraId="710D231D">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F6FCD6C">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2.报价人按照采购人的授意撤换、修改报价文件或者响应文件；</w:t>
      </w:r>
    </w:p>
    <w:p w14:paraId="2B4AED3C">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3.报价人之间协商报价、技术方案等报价文件或者响应文件的实质性内容；</w:t>
      </w:r>
    </w:p>
    <w:p w14:paraId="3739E28B">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0268573C">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506BF420">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6.报价人之间商定部分报价人放弃参加采购活动或者放弃中标；</w:t>
      </w:r>
    </w:p>
    <w:p w14:paraId="047BBC08">
      <w:pPr>
        <w:keepNext w:val="0"/>
        <w:keepLines w:val="0"/>
        <w:pageBreakBefore w:val="0"/>
        <w:widowControl w:val="0"/>
        <w:kinsoku/>
        <w:overflowPunct/>
        <w:topLinePunct w:val="0"/>
        <w:autoSpaceDE/>
        <w:autoSpaceDN/>
        <w:bidi w:val="0"/>
        <w:adjustRightInd/>
        <w:spacing w:line="560" w:lineRule="exact"/>
        <w:ind w:firstLine="588" w:firstLineChars="196"/>
        <w:contextualSpacing/>
        <w:textAlignment w:val="auto"/>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43053931">
      <w:pPr>
        <w:keepNext w:val="0"/>
        <w:keepLines w:val="0"/>
        <w:pageBreakBefore w:val="0"/>
        <w:widowControl w:val="0"/>
        <w:kinsoku/>
        <w:overflowPunct/>
        <w:topLinePunct w:val="0"/>
        <w:autoSpaceDE/>
        <w:autoSpaceDN/>
        <w:bidi w:val="0"/>
        <w:adjustRightInd/>
        <w:spacing w:line="560" w:lineRule="exact"/>
        <w:ind w:firstLine="590" w:firstLineChars="196"/>
        <w:contextualSpacing/>
        <w:textAlignment w:val="auto"/>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1E13C14F">
      <w:pPr>
        <w:pStyle w:val="8"/>
        <w:keepNext w:val="0"/>
        <w:keepLines w:val="0"/>
        <w:pageBreakBefore w:val="0"/>
        <w:widowControl w:val="0"/>
        <w:tabs>
          <w:tab w:val="left" w:pos="5529"/>
        </w:tabs>
        <w:kinsoku/>
        <w:wordWrap w:val="0"/>
        <w:overflowPunct/>
        <w:topLinePunct w:val="0"/>
        <w:autoSpaceDE/>
        <w:autoSpaceDN/>
        <w:bidi w:val="0"/>
        <w:adjustRightInd/>
        <w:spacing w:line="560" w:lineRule="exact"/>
        <w:jc w:val="right"/>
        <w:textAlignment w:val="auto"/>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047D629E">
      <w:pPr>
        <w:pStyle w:val="8"/>
        <w:keepNext w:val="0"/>
        <w:keepLines w:val="0"/>
        <w:pageBreakBefore w:val="0"/>
        <w:widowControl w:val="0"/>
        <w:tabs>
          <w:tab w:val="left" w:pos="5529"/>
        </w:tabs>
        <w:kinsoku/>
        <w:wordWrap w:val="0"/>
        <w:overflowPunct/>
        <w:topLinePunct w:val="0"/>
        <w:autoSpaceDE/>
        <w:autoSpaceDN/>
        <w:bidi w:val="0"/>
        <w:adjustRightInd/>
        <w:spacing w:line="560" w:lineRule="exact"/>
        <w:jc w:val="right"/>
        <w:textAlignment w:val="auto"/>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08242D83">
      <w:pPr>
        <w:pStyle w:val="8"/>
        <w:keepNext w:val="0"/>
        <w:keepLines w:val="0"/>
        <w:pageBreakBefore w:val="0"/>
        <w:widowControl w:val="0"/>
        <w:kinsoku/>
        <w:overflowPunct/>
        <w:topLinePunct w:val="0"/>
        <w:autoSpaceDE/>
        <w:autoSpaceDN/>
        <w:bidi w:val="0"/>
        <w:adjustRightInd/>
        <w:spacing w:line="560" w:lineRule="exact"/>
        <w:ind w:firstLine="600"/>
        <w:jc w:val="right"/>
        <w:textAlignment w:val="auto"/>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73DA93A9">
      <w:pPr>
        <w:spacing w:after="120"/>
        <w:jc w:val="left"/>
        <w:rPr>
          <w:b/>
          <w:sz w:val="44"/>
          <w:szCs w:val="36"/>
        </w:rPr>
      </w:pPr>
      <w:r>
        <w:rPr>
          <w:rFonts w:hint="eastAsia"/>
          <w:b/>
          <w:sz w:val="44"/>
          <w:szCs w:val="36"/>
        </w:rPr>
        <w:t>二、商务技术文件格式</w:t>
      </w:r>
    </w:p>
    <w:p w14:paraId="4658A082">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71CFF82D">
      <w:pPr>
        <w:spacing w:line="360" w:lineRule="exact"/>
        <w:jc w:val="left"/>
        <w:rPr>
          <w:rFonts w:ascii="仿宋" w:hAnsi="仿宋" w:eastAsia="仿宋"/>
          <w:b/>
          <w:sz w:val="44"/>
          <w:szCs w:val="44"/>
        </w:rPr>
      </w:pPr>
    </w:p>
    <w:p w14:paraId="1735EB57">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72845047">
      <w:pPr>
        <w:spacing w:line="360" w:lineRule="exact"/>
        <w:jc w:val="left"/>
        <w:rPr>
          <w:rFonts w:ascii="仿宋" w:hAnsi="仿宋" w:eastAsia="仿宋"/>
          <w:sz w:val="30"/>
          <w:szCs w:val="30"/>
        </w:rPr>
      </w:pPr>
    </w:p>
    <w:p w14:paraId="601AD0A7">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F18B323">
      <w:pPr>
        <w:spacing w:after="120"/>
      </w:pPr>
    </w:p>
    <w:tbl>
      <w:tblPr>
        <w:tblStyle w:val="18"/>
        <w:tblW w:w="10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4751"/>
        <w:gridCol w:w="920"/>
        <w:gridCol w:w="919"/>
        <w:gridCol w:w="1379"/>
        <w:gridCol w:w="1685"/>
      </w:tblGrid>
      <w:tr w14:paraId="531E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83" w:type="dxa"/>
            <w:tcBorders>
              <w:top w:val="single" w:color="auto" w:sz="4" w:space="0"/>
              <w:left w:val="single" w:color="auto" w:sz="4" w:space="0"/>
              <w:bottom w:val="single" w:color="auto" w:sz="4" w:space="0"/>
              <w:right w:val="single" w:color="auto" w:sz="4" w:space="0"/>
            </w:tcBorders>
            <w:vAlign w:val="center"/>
          </w:tcPr>
          <w:p w14:paraId="1FD19BDB">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751" w:type="dxa"/>
            <w:tcBorders>
              <w:top w:val="single" w:color="auto" w:sz="4" w:space="0"/>
              <w:left w:val="single" w:color="auto" w:sz="4" w:space="0"/>
              <w:bottom w:val="single" w:color="auto" w:sz="4" w:space="0"/>
              <w:right w:val="single" w:color="auto" w:sz="4" w:space="0"/>
            </w:tcBorders>
            <w:vAlign w:val="center"/>
          </w:tcPr>
          <w:p w14:paraId="7C357EA0">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920" w:type="dxa"/>
            <w:tcBorders>
              <w:top w:val="single" w:color="auto" w:sz="4" w:space="0"/>
              <w:left w:val="single" w:color="auto" w:sz="4" w:space="0"/>
              <w:bottom w:val="single" w:color="auto" w:sz="4" w:space="0"/>
              <w:right w:val="single" w:color="auto" w:sz="4" w:space="0"/>
            </w:tcBorders>
            <w:vAlign w:val="center"/>
          </w:tcPr>
          <w:p w14:paraId="21E5B8DE">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919" w:type="dxa"/>
            <w:tcBorders>
              <w:top w:val="single" w:color="auto" w:sz="4" w:space="0"/>
              <w:left w:val="single" w:color="auto" w:sz="4" w:space="0"/>
              <w:bottom w:val="single" w:color="auto" w:sz="4" w:space="0"/>
              <w:right w:val="single" w:color="auto" w:sz="4" w:space="0"/>
            </w:tcBorders>
            <w:vAlign w:val="center"/>
          </w:tcPr>
          <w:p w14:paraId="18D53638">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379" w:type="dxa"/>
            <w:tcBorders>
              <w:top w:val="single" w:color="auto" w:sz="4" w:space="0"/>
              <w:left w:val="single" w:color="auto" w:sz="4" w:space="0"/>
              <w:bottom w:val="single" w:color="auto" w:sz="4" w:space="0"/>
              <w:right w:val="single" w:color="auto" w:sz="4" w:space="0"/>
            </w:tcBorders>
            <w:vAlign w:val="center"/>
          </w:tcPr>
          <w:p w14:paraId="7E0B3BBB">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6AAD0700">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685" w:type="dxa"/>
            <w:tcBorders>
              <w:top w:val="single" w:color="auto" w:sz="4" w:space="0"/>
              <w:left w:val="single" w:color="auto" w:sz="4" w:space="0"/>
              <w:bottom w:val="single" w:color="auto" w:sz="4" w:space="0"/>
              <w:right w:val="single" w:color="auto" w:sz="4" w:space="0"/>
            </w:tcBorders>
            <w:vAlign w:val="center"/>
          </w:tcPr>
          <w:p w14:paraId="3C148F57">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72CD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83" w:type="dxa"/>
            <w:tcBorders>
              <w:top w:val="single" w:color="auto" w:sz="4" w:space="0"/>
              <w:left w:val="single" w:color="auto" w:sz="4" w:space="0"/>
              <w:bottom w:val="single" w:color="auto" w:sz="4" w:space="0"/>
              <w:right w:val="single" w:color="auto" w:sz="4" w:space="0"/>
            </w:tcBorders>
            <w:vAlign w:val="center"/>
          </w:tcPr>
          <w:p w14:paraId="76086F8F">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751" w:type="dxa"/>
            <w:tcBorders>
              <w:top w:val="single" w:color="auto" w:sz="4" w:space="0"/>
              <w:left w:val="single" w:color="auto" w:sz="4" w:space="0"/>
              <w:bottom w:val="single" w:color="auto" w:sz="4" w:space="0"/>
              <w:right w:val="single" w:color="auto" w:sz="4" w:space="0"/>
            </w:tcBorders>
            <w:vAlign w:val="center"/>
          </w:tcPr>
          <w:p w14:paraId="47B35549">
            <w:pPr>
              <w:widowControl/>
              <w:jc w:val="center"/>
              <w:textAlignment w:val="center"/>
              <w:rPr>
                <w:rFonts w:ascii="仿宋" w:hAnsi="仿宋" w:eastAsia="仿宋" w:cs="Arial"/>
                <w:bCs/>
                <w:sz w:val="30"/>
                <w:szCs w:val="30"/>
              </w:rPr>
            </w:pPr>
          </w:p>
        </w:tc>
        <w:tc>
          <w:tcPr>
            <w:tcW w:w="920" w:type="dxa"/>
            <w:tcBorders>
              <w:top w:val="single" w:color="auto" w:sz="4" w:space="0"/>
              <w:left w:val="single" w:color="auto" w:sz="4" w:space="0"/>
              <w:bottom w:val="single" w:color="auto" w:sz="4" w:space="0"/>
              <w:right w:val="single" w:color="auto" w:sz="4" w:space="0"/>
            </w:tcBorders>
            <w:vAlign w:val="center"/>
          </w:tcPr>
          <w:p w14:paraId="03443F2B">
            <w:pPr>
              <w:spacing w:line="360" w:lineRule="exact"/>
              <w:rPr>
                <w:rFonts w:ascii="仿宋" w:hAnsi="仿宋" w:eastAsia="仿宋" w:cs="Arial"/>
                <w:bCs/>
                <w:sz w:val="30"/>
                <w:szCs w:val="30"/>
              </w:rPr>
            </w:pPr>
          </w:p>
        </w:tc>
        <w:tc>
          <w:tcPr>
            <w:tcW w:w="919" w:type="dxa"/>
            <w:tcBorders>
              <w:top w:val="single" w:color="auto" w:sz="4" w:space="0"/>
              <w:left w:val="single" w:color="auto" w:sz="4" w:space="0"/>
              <w:bottom w:val="single" w:color="auto" w:sz="4" w:space="0"/>
              <w:right w:val="single" w:color="auto" w:sz="4" w:space="0"/>
            </w:tcBorders>
            <w:vAlign w:val="center"/>
          </w:tcPr>
          <w:p w14:paraId="157E7C5C">
            <w:pPr>
              <w:widowControl/>
              <w:jc w:val="center"/>
              <w:textAlignment w:val="center"/>
              <w:rPr>
                <w:rFonts w:ascii="仿宋" w:hAnsi="仿宋" w:eastAsia="仿宋" w:cs="Arial"/>
                <w:bCs/>
                <w:sz w:val="30"/>
                <w:szCs w:val="30"/>
              </w:rPr>
            </w:pPr>
          </w:p>
        </w:tc>
        <w:tc>
          <w:tcPr>
            <w:tcW w:w="1379" w:type="dxa"/>
            <w:tcBorders>
              <w:top w:val="single" w:color="auto" w:sz="4" w:space="0"/>
              <w:left w:val="single" w:color="auto" w:sz="4" w:space="0"/>
              <w:bottom w:val="single" w:color="auto" w:sz="4" w:space="0"/>
              <w:right w:val="single" w:color="auto" w:sz="4" w:space="0"/>
            </w:tcBorders>
            <w:vAlign w:val="center"/>
          </w:tcPr>
          <w:p w14:paraId="455ABD43">
            <w:pPr>
              <w:widowControl/>
              <w:jc w:val="center"/>
              <w:textAlignment w:val="center"/>
              <w:rPr>
                <w:rFonts w:ascii="仿宋" w:hAnsi="仿宋" w:eastAsia="仿宋" w:cs="Arial"/>
                <w:bCs/>
                <w:sz w:val="30"/>
                <w:szCs w:val="30"/>
              </w:rPr>
            </w:pPr>
          </w:p>
        </w:tc>
        <w:tc>
          <w:tcPr>
            <w:tcW w:w="1685" w:type="dxa"/>
            <w:tcBorders>
              <w:top w:val="single" w:color="auto" w:sz="4" w:space="0"/>
              <w:left w:val="single" w:color="auto" w:sz="4" w:space="0"/>
              <w:bottom w:val="single" w:color="auto" w:sz="4" w:space="0"/>
              <w:right w:val="single" w:color="auto" w:sz="4" w:space="0"/>
            </w:tcBorders>
            <w:vAlign w:val="center"/>
          </w:tcPr>
          <w:p w14:paraId="2D7D423F">
            <w:pPr>
              <w:widowControl/>
              <w:jc w:val="center"/>
              <w:textAlignment w:val="center"/>
              <w:rPr>
                <w:rFonts w:ascii="仿宋" w:hAnsi="仿宋" w:eastAsia="仿宋" w:cs="Arial"/>
                <w:bCs/>
                <w:sz w:val="30"/>
                <w:szCs w:val="30"/>
              </w:rPr>
            </w:pPr>
          </w:p>
        </w:tc>
      </w:tr>
      <w:tr w14:paraId="6610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83" w:type="dxa"/>
            <w:tcBorders>
              <w:top w:val="single" w:color="auto" w:sz="4" w:space="0"/>
              <w:left w:val="single" w:color="auto" w:sz="4" w:space="0"/>
              <w:bottom w:val="single" w:color="auto" w:sz="4" w:space="0"/>
              <w:right w:val="single" w:color="auto" w:sz="4" w:space="0"/>
            </w:tcBorders>
            <w:vAlign w:val="center"/>
          </w:tcPr>
          <w:p w14:paraId="49914B12">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751" w:type="dxa"/>
            <w:tcBorders>
              <w:top w:val="single" w:color="auto" w:sz="4" w:space="0"/>
              <w:left w:val="single" w:color="auto" w:sz="4" w:space="0"/>
              <w:bottom w:val="single" w:color="auto" w:sz="4" w:space="0"/>
              <w:right w:val="single" w:color="auto" w:sz="4" w:space="0"/>
            </w:tcBorders>
            <w:vAlign w:val="center"/>
          </w:tcPr>
          <w:p w14:paraId="58DDEAA2">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920" w:type="dxa"/>
            <w:tcBorders>
              <w:top w:val="single" w:color="auto" w:sz="4" w:space="0"/>
              <w:left w:val="single" w:color="auto" w:sz="4" w:space="0"/>
              <w:bottom w:val="single" w:color="auto" w:sz="4" w:space="0"/>
              <w:right w:val="single" w:color="auto" w:sz="4" w:space="0"/>
            </w:tcBorders>
            <w:vAlign w:val="center"/>
          </w:tcPr>
          <w:p w14:paraId="39598EBD">
            <w:pPr>
              <w:spacing w:line="360" w:lineRule="exact"/>
              <w:rPr>
                <w:rFonts w:ascii="仿宋" w:hAnsi="仿宋" w:eastAsia="仿宋" w:cs="Arial"/>
                <w:bCs/>
                <w:sz w:val="30"/>
                <w:szCs w:val="30"/>
              </w:rPr>
            </w:pPr>
          </w:p>
        </w:tc>
        <w:tc>
          <w:tcPr>
            <w:tcW w:w="919" w:type="dxa"/>
            <w:tcBorders>
              <w:top w:val="single" w:color="auto" w:sz="4" w:space="0"/>
              <w:left w:val="single" w:color="auto" w:sz="4" w:space="0"/>
              <w:bottom w:val="single" w:color="auto" w:sz="4" w:space="0"/>
              <w:right w:val="single" w:color="auto" w:sz="4" w:space="0"/>
            </w:tcBorders>
            <w:vAlign w:val="center"/>
          </w:tcPr>
          <w:p w14:paraId="766E103B">
            <w:pPr>
              <w:widowControl/>
              <w:jc w:val="center"/>
              <w:textAlignment w:val="center"/>
              <w:rPr>
                <w:rFonts w:ascii="仿宋" w:hAnsi="仿宋" w:eastAsia="仿宋" w:cs="Arial"/>
                <w:bCs/>
                <w:sz w:val="30"/>
                <w:szCs w:val="30"/>
              </w:rPr>
            </w:pPr>
          </w:p>
        </w:tc>
        <w:tc>
          <w:tcPr>
            <w:tcW w:w="1379" w:type="dxa"/>
            <w:tcBorders>
              <w:top w:val="single" w:color="auto" w:sz="4" w:space="0"/>
              <w:left w:val="single" w:color="auto" w:sz="4" w:space="0"/>
              <w:bottom w:val="single" w:color="auto" w:sz="4" w:space="0"/>
              <w:right w:val="single" w:color="auto" w:sz="4" w:space="0"/>
            </w:tcBorders>
            <w:vAlign w:val="center"/>
          </w:tcPr>
          <w:p w14:paraId="31746908">
            <w:pPr>
              <w:widowControl/>
              <w:jc w:val="center"/>
              <w:textAlignment w:val="center"/>
              <w:rPr>
                <w:rFonts w:ascii="仿宋" w:hAnsi="仿宋" w:eastAsia="仿宋" w:cs="Arial"/>
                <w:bCs/>
                <w:sz w:val="30"/>
                <w:szCs w:val="30"/>
              </w:rPr>
            </w:pPr>
          </w:p>
        </w:tc>
        <w:tc>
          <w:tcPr>
            <w:tcW w:w="1685" w:type="dxa"/>
            <w:tcBorders>
              <w:top w:val="single" w:color="auto" w:sz="4" w:space="0"/>
              <w:left w:val="single" w:color="auto" w:sz="4" w:space="0"/>
              <w:bottom w:val="single" w:color="auto" w:sz="4" w:space="0"/>
              <w:right w:val="single" w:color="auto" w:sz="4" w:space="0"/>
            </w:tcBorders>
            <w:vAlign w:val="center"/>
          </w:tcPr>
          <w:p w14:paraId="25350680">
            <w:pPr>
              <w:widowControl/>
              <w:jc w:val="center"/>
              <w:textAlignment w:val="center"/>
              <w:rPr>
                <w:rFonts w:ascii="仿宋" w:hAnsi="仿宋" w:eastAsia="仿宋" w:cs="Arial"/>
                <w:bCs/>
                <w:sz w:val="30"/>
                <w:szCs w:val="30"/>
              </w:rPr>
            </w:pPr>
          </w:p>
        </w:tc>
      </w:tr>
      <w:tr w14:paraId="1F61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10537" w:type="dxa"/>
            <w:gridSpan w:val="6"/>
            <w:tcBorders>
              <w:top w:val="single" w:color="auto" w:sz="4" w:space="0"/>
              <w:left w:val="single" w:color="auto" w:sz="4" w:space="0"/>
              <w:bottom w:val="single" w:color="auto" w:sz="4" w:space="0"/>
              <w:right w:val="single" w:color="auto" w:sz="4" w:space="0"/>
            </w:tcBorders>
            <w:vAlign w:val="center"/>
          </w:tcPr>
          <w:p w14:paraId="041D004E">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56F5591">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4D6C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10537" w:type="dxa"/>
            <w:gridSpan w:val="6"/>
            <w:tcBorders>
              <w:top w:val="single" w:color="auto" w:sz="4" w:space="0"/>
              <w:left w:val="single" w:color="auto" w:sz="4" w:space="0"/>
              <w:bottom w:val="single" w:color="auto" w:sz="4" w:space="0"/>
            </w:tcBorders>
            <w:vAlign w:val="center"/>
          </w:tcPr>
          <w:p w14:paraId="2B51DAD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2D518F57">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20F0E264">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1234F775">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7DEE91B">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48F38BF8">
      <w:pPr>
        <w:ind w:left="5250" w:leftChars="2500"/>
      </w:pPr>
    </w:p>
    <w:p w14:paraId="0D17E0E8">
      <w:pPr>
        <w:spacing w:after="120"/>
        <w:jc w:val="left"/>
        <w:rPr>
          <w:rFonts w:ascii="宋体" w:hAnsi="宋体" w:cs="宋体"/>
          <w:b/>
          <w:sz w:val="28"/>
        </w:rPr>
      </w:pPr>
    </w:p>
    <w:p w14:paraId="5D05AEF4">
      <w:pPr>
        <w:spacing w:after="120"/>
        <w:jc w:val="left"/>
        <w:rPr>
          <w:rFonts w:ascii="宋体" w:hAnsi="宋体" w:cs="宋体"/>
          <w:b/>
          <w:sz w:val="28"/>
        </w:rPr>
      </w:pPr>
    </w:p>
    <w:p w14:paraId="139273F8">
      <w:pPr>
        <w:spacing w:after="120"/>
        <w:jc w:val="left"/>
        <w:rPr>
          <w:rFonts w:ascii="宋体" w:hAnsi="宋体" w:cs="宋体"/>
          <w:b/>
          <w:sz w:val="28"/>
        </w:rPr>
      </w:pPr>
    </w:p>
    <w:p w14:paraId="447BFE67">
      <w:pPr>
        <w:spacing w:after="120"/>
        <w:jc w:val="left"/>
        <w:rPr>
          <w:rFonts w:ascii="宋体" w:hAnsi="宋体" w:cs="宋体"/>
          <w:b/>
          <w:sz w:val="28"/>
        </w:rPr>
      </w:pPr>
    </w:p>
    <w:p w14:paraId="763B35D0">
      <w:pPr>
        <w:spacing w:after="120"/>
        <w:jc w:val="left"/>
        <w:rPr>
          <w:rFonts w:ascii="宋体" w:hAnsi="宋体" w:cs="宋体"/>
          <w:b/>
          <w:sz w:val="28"/>
        </w:rPr>
      </w:pPr>
    </w:p>
    <w:p w14:paraId="358784FB">
      <w:pPr>
        <w:spacing w:after="120"/>
        <w:jc w:val="left"/>
        <w:rPr>
          <w:rFonts w:ascii="宋体" w:hAnsi="宋体" w:cs="宋体"/>
          <w:b/>
          <w:sz w:val="28"/>
        </w:rPr>
      </w:pPr>
    </w:p>
    <w:p w14:paraId="1C5D2496">
      <w:pPr>
        <w:spacing w:after="120"/>
        <w:jc w:val="left"/>
        <w:rPr>
          <w:rFonts w:ascii="宋体" w:hAnsi="宋体" w:cs="宋体"/>
          <w:b/>
          <w:sz w:val="28"/>
        </w:rPr>
      </w:pPr>
    </w:p>
    <w:p w14:paraId="55312DE9">
      <w:pPr>
        <w:pStyle w:val="7"/>
      </w:pPr>
    </w:p>
    <w:p w14:paraId="50FA09B8">
      <w:pPr>
        <w:spacing w:after="120"/>
        <w:jc w:val="left"/>
        <w:rPr>
          <w:rFonts w:ascii="宋体" w:hAnsi="宋体" w:cs="宋体"/>
        </w:rPr>
      </w:pPr>
      <w:r>
        <w:rPr>
          <w:rFonts w:hint="eastAsia" w:ascii="宋体" w:hAnsi="宋体" w:cs="宋体"/>
          <w:b/>
          <w:sz w:val="28"/>
        </w:rPr>
        <w:t>2.商务、技术响应、偏离情况说明表</w:t>
      </w:r>
    </w:p>
    <w:p w14:paraId="5D4CF0D1">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23E97ADB">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3F7AB1C8">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3"/>
        <w:gridCol w:w="2795"/>
        <w:gridCol w:w="2562"/>
        <w:gridCol w:w="987"/>
        <w:gridCol w:w="2192"/>
      </w:tblGrid>
      <w:tr w14:paraId="45DC72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73" w:hRule="atLeast"/>
          <w:jc w:val="center"/>
        </w:trPr>
        <w:tc>
          <w:tcPr>
            <w:tcW w:w="603" w:type="dxa"/>
            <w:tcBorders>
              <w:top w:val="single" w:color="auto" w:sz="4" w:space="0"/>
              <w:left w:val="single" w:color="auto" w:sz="4" w:space="0"/>
              <w:bottom w:val="single" w:color="auto" w:sz="6" w:space="0"/>
              <w:right w:val="single" w:color="auto" w:sz="6" w:space="0"/>
            </w:tcBorders>
            <w:vAlign w:val="center"/>
          </w:tcPr>
          <w:p w14:paraId="0A4C2AF8">
            <w:pPr>
              <w:adjustRightInd w:val="0"/>
              <w:snapToGrid w:val="0"/>
              <w:spacing w:line="300" w:lineRule="auto"/>
              <w:outlineLvl w:val="0"/>
              <w:rPr>
                <w:rFonts w:ascii="宋体" w:hAnsi="宋体"/>
                <w:sz w:val="24"/>
                <w:szCs w:val="24"/>
              </w:rPr>
            </w:pPr>
            <w:bookmarkStart w:id="5" w:name="_Toc173211900"/>
            <w:bookmarkStart w:id="6" w:name="_Toc254970729"/>
            <w:bookmarkStart w:id="7" w:name="_Toc405905876"/>
            <w:bookmarkStart w:id="8" w:name="_Toc173066401"/>
            <w:bookmarkStart w:id="9" w:name="_Toc171349578"/>
            <w:bookmarkStart w:id="10" w:name="_Toc254970588"/>
            <w:r>
              <w:rPr>
                <w:rFonts w:hint="eastAsia" w:ascii="宋体" w:hAnsi="宋体"/>
                <w:sz w:val="24"/>
              </w:rPr>
              <w:t>序号</w:t>
            </w:r>
            <w:bookmarkEnd w:id="5"/>
            <w:bookmarkEnd w:id="6"/>
            <w:bookmarkEnd w:id="7"/>
            <w:bookmarkEnd w:id="8"/>
            <w:bookmarkEnd w:id="9"/>
            <w:bookmarkEnd w:id="10"/>
          </w:p>
        </w:tc>
        <w:tc>
          <w:tcPr>
            <w:tcW w:w="2795" w:type="dxa"/>
            <w:tcBorders>
              <w:top w:val="single" w:color="auto" w:sz="4" w:space="0"/>
              <w:left w:val="single" w:color="auto" w:sz="6" w:space="0"/>
              <w:bottom w:val="single" w:color="auto" w:sz="6" w:space="0"/>
              <w:right w:val="single" w:color="auto" w:sz="6" w:space="0"/>
            </w:tcBorders>
            <w:vAlign w:val="center"/>
          </w:tcPr>
          <w:p w14:paraId="418AE5C0">
            <w:pPr>
              <w:jc w:val="center"/>
              <w:rPr>
                <w:rFonts w:ascii="宋体" w:hAnsi="宋体" w:cs="宋体"/>
                <w:kern w:val="0"/>
                <w:sz w:val="24"/>
              </w:rPr>
            </w:pPr>
            <w:r>
              <w:rPr>
                <w:rFonts w:hint="eastAsia" w:ascii="宋体" w:hAnsi="宋体" w:cs="宋体"/>
                <w:kern w:val="0"/>
                <w:sz w:val="24"/>
              </w:rPr>
              <w:t>采购参数要求</w:t>
            </w:r>
          </w:p>
        </w:tc>
        <w:tc>
          <w:tcPr>
            <w:tcW w:w="2562" w:type="dxa"/>
            <w:tcBorders>
              <w:top w:val="single" w:color="auto" w:sz="4" w:space="0"/>
              <w:left w:val="single" w:color="auto" w:sz="6" w:space="0"/>
              <w:bottom w:val="single" w:color="auto" w:sz="6" w:space="0"/>
              <w:right w:val="single" w:color="auto" w:sz="6" w:space="0"/>
            </w:tcBorders>
            <w:vAlign w:val="center"/>
          </w:tcPr>
          <w:p w14:paraId="4B0B0BE9">
            <w:pPr>
              <w:ind w:right="23" w:rightChars="11"/>
              <w:jc w:val="center"/>
              <w:rPr>
                <w:rFonts w:ascii="宋体" w:hAnsi="宋体" w:cs="宋体"/>
                <w:kern w:val="0"/>
                <w:sz w:val="24"/>
              </w:rPr>
            </w:pPr>
            <w:r>
              <w:rPr>
                <w:rFonts w:hint="eastAsia" w:ascii="宋体" w:hAnsi="宋体" w:cs="宋体"/>
                <w:kern w:val="0"/>
                <w:sz w:val="24"/>
              </w:rPr>
              <w:t>报价人具体响应</w:t>
            </w:r>
          </w:p>
        </w:tc>
        <w:tc>
          <w:tcPr>
            <w:tcW w:w="987" w:type="dxa"/>
            <w:tcBorders>
              <w:top w:val="single" w:color="auto" w:sz="4" w:space="0"/>
              <w:left w:val="single" w:color="auto" w:sz="6" w:space="0"/>
              <w:bottom w:val="single" w:color="auto" w:sz="6" w:space="0"/>
              <w:right w:val="single" w:color="auto" w:sz="6" w:space="0"/>
            </w:tcBorders>
            <w:vAlign w:val="center"/>
          </w:tcPr>
          <w:p w14:paraId="3E0D6309">
            <w:pPr>
              <w:adjustRightInd w:val="0"/>
              <w:snapToGrid w:val="0"/>
              <w:spacing w:line="300" w:lineRule="auto"/>
              <w:jc w:val="center"/>
              <w:outlineLvl w:val="0"/>
              <w:rPr>
                <w:rFonts w:ascii="宋体" w:hAnsi="宋体"/>
                <w:sz w:val="24"/>
                <w:szCs w:val="24"/>
              </w:rPr>
            </w:pPr>
            <w:bookmarkStart w:id="11" w:name="_Toc173211903"/>
            <w:bookmarkStart w:id="12" w:name="_Toc405905879"/>
            <w:bookmarkStart w:id="13" w:name="_Toc171349581"/>
            <w:bookmarkStart w:id="14" w:name="_Toc254970732"/>
            <w:bookmarkStart w:id="15" w:name="_Toc254970591"/>
            <w:bookmarkStart w:id="16" w:name="_Toc173066404"/>
            <w:r>
              <w:rPr>
                <w:rFonts w:hint="eastAsia" w:ascii="宋体" w:hAnsi="宋体"/>
                <w:sz w:val="24"/>
              </w:rPr>
              <w:t>响应/偏离</w:t>
            </w:r>
            <w:bookmarkEnd w:id="11"/>
            <w:bookmarkEnd w:id="12"/>
            <w:bookmarkEnd w:id="13"/>
            <w:bookmarkEnd w:id="14"/>
            <w:bookmarkEnd w:id="15"/>
            <w:bookmarkEnd w:id="16"/>
          </w:p>
        </w:tc>
        <w:tc>
          <w:tcPr>
            <w:tcW w:w="2192" w:type="dxa"/>
            <w:tcBorders>
              <w:top w:val="single" w:color="auto" w:sz="4" w:space="0"/>
              <w:left w:val="single" w:color="auto" w:sz="6" w:space="0"/>
              <w:bottom w:val="single" w:color="auto" w:sz="6" w:space="0"/>
              <w:right w:val="single" w:color="auto" w:sz="4" w:space="0"/>
            </w:tcBorders>
            <w:vAlign w:val="center"/>
          </w:tcPr>
          <w:p w14:paraId="4974BC9F">
            <w:pPr>
              <w:adjustRightInd w:val="0"/>
              <w:snapToGrid w:val="0"/>
              <w:spacing w:line="300" w:lineRule="auto"/>
              <w:jc w:val="center"/>
              <w:outlineLvl w:val="0"/>
              <w:rPr>
                <w:rFonts w:ascii="宋体" w:hAnsi="宋体"/>
                <w:sz w:val="24"/>
                <w:szCs w:val="24"/>
              </w:rPr>
            </w:pPr>
            <w:bookmarkStart w:id="17" w:name="_Toc254970733"/>
            <w:bookmarkStart w:id="18" w:name="_Toc173066405"/>
            <w:bookmarkStart w:id="19" w:name="_Toc171349582"/>
            <w:bookmarkStart w:id="20" w:name="_Toc405905880"/>
            <w:bookmarkStart w:id="21" w:name="_Toc173211904"/>
            <w:bookmarkStart w:id="22" w:name="_Toc25497059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665F7A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139" w:type="dxa"/>
            <w:gridSpan w:val="5"/>
            <w:tcBorders>
              <w:top w:val="single" w:color="auto" w:sz="6" w:space="0"/>
              <w:left w:val="single" w:color="auto" w:sz="4" w:space="0"/>
              <w:bottom w:val="single" w:color="auto" w:sz="6" w:space="0"/>
              <w:right w:val="single" w:color="auto" w:sz="4" w:space="0"/>
            </w:tcBorders>
            <w:vAlign w:val="center"/>
          </w:tcPr>
          <w:p w14:paraId="235E1520">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D5C65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603" w:type="dxa"/>
            <w:tcBorders>
              <w:top w:val="single" w:color="auto" w:sz="6" w:space="0"/>
              <w:left w:val="single" w:color="auto" w:sz="4" w:space="0"/>
              <w:bottom w:val="single" w:color="auto" w:sz="6" w:space="0"/>
              <w:right w:val="single" w:color="auto" w:sz="6" w:space="0"/>
            </w:tcBorders>
            <w:vAlign w:val="center"/>
          </w:tcPr>
          <w:p w14:paraId="47178D96">
            <w:pPr>
              <w:adjustRightInd w:val="0"/>
              <w:snapToGrid w:val="0"/>
              <w:spacing w:line="240" w:lineRule="exact"/>
              <w:jc w:val="center"/>
              <w:outlineLvl w:val="0"/>
              <w:rPr>
                <w:rFonts w:ascii="宋体" w:hAnsi="宋体"/>
                <w:sz w:val="24"/>
                <w:szCs w:val="24"/>
              </w:rPr>
            </w:pPr>
            <w:bookmarkStart w:id="25" w:name="_Toc405905882"/>
            <w:bookmarkStart w:id="26" w:name="_Toc171349584"/>
            <w:bookmarkStart w:id="27" w:name="_Toc173211905"/>
            <w:bookmarkStart w:id="28" w:name="_Toc254970734"/>
            <w:bookmarkStart w:id="29" w:name="_Toc254970593"/>
            <w:bookmarkStart w:id="30" w:name="_Toc173066406"/>
            <w:r>
              <w:rPr>
                <w:rFonts w:hint="eastAsia" w:ascii="宋体" w:hAnsi="宋体"/>
                <w:sz w:val="24"/>
              </w:rPr>
              <w:t>1</w:t>
            </w:r>
            <w:bookmarkEnd w:id="25"/>
            <w:bookmarkEnd w:id="26"/>
            <w:bookmarkEnd w:id="27"/>
            <w:bookmarkEnd w:id="28"/>
            <w:bookmarkEnd w:id="29"/>
            <w:bookmarkEnd w:id="30"/>
          </w:p>
        </w:tc>
        <w:tc>
          <w:tcPr>
            <w:tcW w:w="2795" w:type="dxa"/>
            <w:tcBorders>
              <w:top w:val="single" w:color="auto" w:sz="6" w:space="0"/>
              <w:left w:val="single" w:color="auto" w:sz="6" w:space="0"/>
              <w:bottom w:val="single" w:color="auto" w:sz="6" w:space="0"/>
              <w:right w:val="single" w:color="auto" w:sz="6" w:space="0"/>
            </w:tcBorders>
            <w:vAlign w:val="center"/>
          </w:tcPr>
          <w:p w14:paraId="4FE8D5D2">
            <w:pPr>
              <w:adjustRightInd w:val="0"/>
              <w:snapToGrid w:val="0"/>
              <w:spacing w:line="240" w:lineRule="exact"/>
              <w:jc w:val="center"/>
              <w:outlineLvl w:val="0"/>
              <w:rPr>
                <w:rFonts w:ascii="宋体" w:hAnsi="宋体"/>
                <w:sz w:val="24"/>
                <w:szCs w:val="24"/>
              </w:rPr>
            </w:pPr>
          </w:p>
        </w:tc>
        <w:tc>
          <w:tcPr>
            <w:tcW w:w="2562" w:type="dxa"/>
            <w:tcBorders>
              <w:top w:val="single" w:color="auto" w:sz="6" w:space="0"/>
              <w:left w:val="single" w:color="auto" w:sz="6" w:space="0"/>
              <w:bottom w:val="single" w:color="auto" w:sz="6" w:space="0"/>
              <w:right w:val="single" w:color="auto" w:sz="6" w:space="0"/>
            </w:tcBorders>
            <w:vAlign w:val="center"/>
          </w:tcPr>
          <w:p w14:paraId="002BA4D6">
            <w:pPr>
              <w:adjustRightInd w:val="0"/>
              <w:snapToGrid w:val="0"/>
              <w:spacing w:line="240" w:lineRule="exact"/>
              <w:jc w:val="center"/>
              <w:outlineLvl w:val="0"/>
              <w:rPr>
                <w:rFonts w:ascii="宋体" w:hAnsi="宋体"/>
                <w:sz w:val="24"/>
                <w:szCs w:val="24"/>
              </w:rPr>
            </w:pPr>
          </w:p>
        </w:tc>
        <w:tc>
          <w:tcPr>
            <w:tcW w:w="987" w:type="dxa"/>
            <w:tcBorders>
              <w:top w:val="single" w:color="auto" w:sz="6" w:space="0"/>
              <w:left w:val="single" w:color="auto" w:sz="6" w:space="0"/>
              <w:bottom w:val="single" w:color="auto" w:sz="6" w:space="0"/>
              <w:right w:val="single" w:color="auto" w:sz="6" w:space="0"/>
            </w:tcBorders>
            <w:vAlign w:val="center"/>
          </w:tcPr>
          <w:p w14:paraId="349F26A1">
            <w:pPr>
              <w:adjustRightInd w:val="0"/>
              <w:snapToGrid w:val="0"/>
              <w:spacing w:line="240" w:lineRule="exact"/>
              <w:jc w:val="center"/>
              <w:outlineLvl w:val="0"/>
              <w:rPr>
                <w:rFonts w:ascii="宋体" w:hAnsi="宋体"/>
                <w:sz w:val="24"/>
                <w:szCs w:val="24"/>
              </w:rPr>
            </w:pPr>
          </w:p>
        </w:tc>
        <w:tc>
          <w:tcPr>
            <w:tcW w:w="2192" w:type="dxa"/>
            <w:tcBorders>
              <w:top w:val="single" w:color="auto" w:sz="6" w:space="0"/>
              <w:left w:val="single" w:color="auto" w:sz="6" w:space="0"/>
              <w:bottom w:val="single" w:color="auto" w:sz="6" w:space="0"/>
              <w:right w:val="single" w:color="auto" w:sz="4" w:space="0"/>
            </w:tcBorders>
            <w:vAlign w:val="center"/>
          </w:tcPr>
          <w:p w14:paraId="6B77FAAF">
            <w:pPr>
              <w:adjustRightInd w:val="0"/>
              <w:snapToGrid w:val="0"/>
              <w:spacing w:line="240" w:lineRule="exact"/>
              <w:jc w:val="center"/>
              <w:outlineLvl w:val="0"/>
              <w:rPr>
                <w:rFonts w:ascii="宋体" w:hAnsi="宋体"/>
                <w:sz w:val="24"/>
                <w:szCs w:val="24"/>
              </w:rPr>
            </w:pPr>
          </w:p>
        </w:tc>
      </w:tr>
      <w:tr w14:paraId="21E973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603" w:type="dxa"/>
            <w:tcBorders>
              <w:top w:val="single" w:color="auto" w:sz="6" w:space="0"/>
              <w:left w:val="single" w:color="auto" w:sz="4" w:space="0"/>
              <w:bottom w:val="single" w:color="auto" w:sz="6" w:space="0"/>
              <w:right w:val="single" w:color="auto" w:sz="6" w:space="0"/>
            </w:tcBorders>
            <w:vAlign w:val="center"/>
          </w:tcPr>
          <w:p w14:paraId="1100EFE8">
            <w:pPr>
              <w:adjustRightInd w:val="0"/>
              <w:snapToGrid w:val="0"/>
              <w:spacing w:line="240" w:lineRule="exact"/>
              <w:jc w:val="center"/>
              <w:outlineLvl w:val="0"/>
              <w:rPr>
                <w:rFonts w:ascii="宋体" w:hAnsi="宋体"/>
                <w:sz w:val="24"/>
                <w:szCs w:val="24"/>
              </w:rPr>
            </w:pPr>
            <w:bookmarkStart w:id="31" w:name="_Toc173211906"/>
            <w:bookmarkStart w:id="32" w:name="_Toc173066407"/>
            <w:bookmarkStart w:id="33" w:name="_Toc171349585"/>
            <w:bookmarkStart w:id="34" w:name="_Toc254970735"/>
            <w:bookmarkStart w:id="35" w:name="_Toc405905883"/>
            <w:bookmarkStart w:id="36" w:name="_Toc254970594"/>
            <w:r>
              <w:rPr>
                <w:rFonts w:hint="eastAsia" w:ascii="宋体" w:hAnsi="宋体"/>
                <w:sz w:val="24"/>
              </w:rPr>
              <w:t>2</w:t>
            </w:r>
            <w:bookmarkEnd w:id="31"/>
            <w:bookmarkEnd w:id="32"/>
            <w:bookmarkEnd w:id="33"/>
            <w:bookmarkEnd w:id="34"/>
            <w:bookmarkEnd w:id="35"/>
            <w:bookmarkEnd w:id="36"/>
          </w:p>
        </w:tc>
        <w:tc>
          <w:tcPr>
            <w:tcW w:w="2795" w:type="dxa"/>
            <w:tcBorders>
              <w:top w:val="single" w:color="auto" w:sz="6" w:space="0"/>
              <w:left w:val="single" w:color="auto" w:sz="6" w:space="0"/>
              <w:bottom w:val="single" w:color="auto" w:sz="6" w:space="0"/>
              <w:right w:val="single" w:color="auto" w:sz="6" w:space="0"/>
            </w:tcBorders>
            <w:vAlign w:val="center"/>
          </w:tcPr>
          <w:p w14:paraId="4D480CB1">
            <w:pPr>
              <w:adjustRightInd w:val="0"/>
              <w:snapToGrid w:val="0"/>
              <w:spacing w:line="240" w:lineRule="exact"/>
              <w:jc w:val="center"/>
              <w:outlineLvl w:val="0"/>
              <w:rPr>
                <w:rFonts w:ascii="宋体" w:hAnsi="宋体"/>
                <w:sz w:val="24"/>
                <w:szCs w:val="24"/>
              </w:rPr>
            </w:pPr>
          </w:p>
        </w:tc>
        <w:tc>
          <w:tcPr>
            <w:tcW w:w="2562" w:type="dxa"/>
            <w:tcBorders>
              <w:top w:val="single" w:color="auto" w:sz="6" w:space="0"/>
              <w:left w:val="single" w:color="auto" w:sz="6" w:space="0"/>
              <w:bottom w:val="single" w:color="auto" w:sz="6" w:space="0"/>
              <w:right w:val="single" w:color="auto" w:sz="6" w:space="0"/>
            </w:tcBorders>
            <w:vAlign w:val="center"/>
          </w:tcPr>
          <w:p w14:paraId="43138DCF">
            <w:pPr>
              <w:adjustRightInd w:val="0"/>
              <w:snapToGrid w:val="0"/>
              <w:spacing w:line="240" w:lineRule="exact"/>
              <w:jc w:val="center"/>
              <w:outlineLvl w:val="0"/>
              <w:rPr>
                <w:rFonts w:ascii="宋体" w:hAnsi="宋体"/>
                <w:sz w:val="24"/>
                <w:szCs w:val="24"/>
              </w:rPr>
            </w:pPr>
          </w:p>
        </w:tc>
        <w:tc>
          <w:tcPr>
            <w:tcW w:w="987" w:type="dxa"/>
            <w:tcBorders>
              <w:top w:val="single" w:color="auto" w:sz="6" w:space="0"/>
              <w:left w:val="single" w:color="auto" w:sz="6" w:space="0"/>
              <w:bottom w:val="single" w:color="auto" w:sz="6" w:space="0"/>
              <w:right w:val="single" w:color="auto" w:sz="6" w:space="0"/>
            </w:tcBorders>
            <w:vAlign w:val="center"/>
          </w:tcPr>
          <w:p w14:paraId="1B08EE39">
            <w:pPr>
              <w:adjustRightInd w:val="0"/>
              <w:snapToGrid w:val="0"/>
              <w:spacing w:line="240" w:lineRule="exact"/>
              <w:jc w:val="center"/>
              <w:outlineLvl w:val="0"/>
              <w:rPr>
                <w:rFonts w:ascii="宋体" w:hAnsi="宋体"/>
                <w:sz w:val="24"/>
                <w:szCs w:val="24"/>
              </w:rPr>
            </w:pPr>
          </w:p>
        </w:tc>
        <w:tc>
          <w:tcPr>
            <w:tcW w:w="2192" w:type="dxa"/>
            <w:tcBorders>
              <w:top w:val="single" w:color="auto" w:sz="6" w:space="0"/>
              <w:left w:val="single" w:color="auto" w:sz="6" w:space="0"/>
              <w:bottom w:val="single" w:color="auto" w:sz="6" w:space="0"/>
              <w:right w:val="single" w:color="auto" w:sz="4" w:space="0"/>
            </w:tcBorders>
            <w:vAlign w:val="center"/>
          </w:tcPr>
          <w:p w14:paraId="42E9E81A">
            <w:pPr>
              <w:adjustRightInd w:val="0"/>
              <w:snapToGrid w:val="0"/>
              <w:spacing w:line="240" w:lineRule="exact"/>
              <w:jc w:val="center"/>
              <w:outlineLvl w:val="0"/>
              <w:rPr>
                <w:rFonts w:ascii="宋体" w:hAnsi="宋体"/>
                <w:sz w:val="24"/>
                <w:szCs w:val="24"/>
              </w:rPr>
            </w:pPr>
          </w:p>
        </w:tc>
      </w:tr>
      <w:tr w14:paraId="2867BA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603" w:type="dxa"/>
            <w:tcBorders>
              <w:top w:val="single" w:color="auto" w:sz="6" w:space="0"/>
              <w:left w:val="single" w:color="auto" w:sz="4" w:space="0"/>
              <w:bottom w:val="single" w:color="auto" w:sz="6" w:space="0"/>
              <w:right w:val="single" w:color="auto" w:sz="6" w:space="0"/>
            </w:tcBorders>
            <w:vAlign w:val="center"/>
          </w:tcPr>
          <w:p w14:paraId="6E1620E4">
            <w:pPr>
              <w:adjustRightInd w:val="0"/>
              <w:snapToGrid w:val="0"/>
              <w:spacing w:line="240" w:lineRule="exact"/>
              <w:jc w:val="center"/>
              <w:outlineLvl w:val="0"/>
              <w:rPr>
                <w:rFonts w:ascii="宋体" w:hAnsi="宋体"/>
                <w:sz w:val="24"/>
                <w:szCs w:val="24"/>
              </w:rPr>
            </w:pPr>
            <w:bookmarkStart w:id="37" w:name="_Toc173211907"/>
            <w:bookmarkStart w:id="38" w:name="_Toc173066408"/>
            <w:bookmarkStart w:id="39" w:name="_Toc254970595"/>
            <w:bookmarkStart w:id="40" w:name="_Toc405905884"/>
            <w:bookmarkStart w:id="41" w:name="_Toc254970736"/>
            <w:bookmarkStart w:id="42" w:name="_Toc171349586"/>
            <w:r>
              <w:rPr>
                <w:rFonts w:hint="eastAsia" w:ascii="宋体" w:hAnsi="宋体"/>
                <w:sz w:val="24"/>
              </w:rPr>
              <w:t>3</w:t>
            </w:r>
            <w:bookmarkEnd w:id="37"/>
            <w:bookmarkEnd w:id="38"/>
            <w:bookmarkEnd w:id="39"/>
            <w:bookmarkEnd w:id="40"/>
            <w:bookmarkEnd w:id="41"/>
            <w:bookmarkEnd w:id="42"/>
          </w:p>
        </w:tc>
        <w:tc>
          <w:tcPr>
            <w:tcW w:w="2795" w:type="dxa"/>
            <w:tcBorders>
              <w:top w:val="single" w:color="auto" w:sz="6" w:space="0"/>
              <w:left w:val="single" w:color="auto" w:sz="6" w:space="0"/>
              <w:bottom w:val="single" w:color="auto" w:sz="6" w:space="0"/>
              <w:right w:val="single" w:color="auto" w:sz="6" w:space="0"/>
            </w:tcBorders>
            <w:vAlign w:val="center"/>
          </w:tcPr>
          <w:p w14:paraId="3509D062">
            <w:pPr>
              <w:adjustRightInd w:val="0"/>
              <w:snapToGrid w:val="0"/>
              <w:spacing w:line="240" w:lineRule="exact"/>
              <w:jc w:val="center"/>
              <w:outlineLvl w:val="0"/>
              <w:rPr>
                <w:rFonts w:ascii="宋体" w:hAnsi="宋体"/>
                <w:sz w:val="24"/>
                <w:szCs w:val="24"/>
              </w:rPr>
            </w:pPr>
          </w:p>
        </w:tc>
        <w:tc>
          <w:tcPr>
            <w:tcW w:w="2562" w:type="dxa"/>
            <w:tcBorders>
              <w:top w:val="single" w:color="auto" w:sz="6" w:space="0"/>
              <w:left w:val="single" w:color="auto" w:sz="6" w:space="0"/>
              <w:bottom w:val="single" w:color="auto" w:sz="6" w:space="0"/>
              <w:right w:val="single" w:color="auto" w:sz="6" w:space="0"/>
            </w:tcBorders>
            <w:vAlign w:val="center"/>
          </w:tcPr>
          <w:p w14:paraId="06E0D035">
            <w:pPr>
              <w:adjustRightInd w:val="0"/>
              <w:snapToGrid w:val="0"/>
              <w:spacing w:line="240" w:lineRule="exact"/>
              <w:jc w:val="center"/>
              <w:outlineLvl w:val="0"/>
              <w:rPr>
                <w:rFonts w:ascii="宋体" w:hAnsi="宋体"/>
                <w:sz w:val="24"/>
                <w:szCs w:val="24"/>
              </w:rPr>
            </w:pPr>
          </w:p>
        </w:tc>
        <w:tc>
          <w:tcPr>
            <w:tcW w:w="987" w:type="dxa"/>
            <w:tcBorders>
              <w:top w:val="single" w:color="auto" w:sz="6" w:space="0"/>
              <w:left w:val="single" w:color="auto" w:sz="6" w:space="0"/>
              <w:bottom w:val="single" w:color="auto" w:sz="6" w:space="0"/>
              <w:right w:val="single" w:color="auto" w:sz="6" w:space="0"/>
            </w:tcBorders>
            <w:vAlign w:val="center"/>
          </w:tcPr>
          <w:p w14:paraId="0D6DAD3B">
            <w:pPr>
              <w:adjustRightInd w:val="0"/>
              <w:snapToGrid w:val="0"/>
              <w:spacing w:line="240" w:lineRule="exact"/>
              <w:jc w:val="center"/>
              <w:outlineLvl w:val="0"/>
              <w:rPr>
                <w:rFonts w:ascii="宋体" w:hAnsi="宋体"/>
                <w:sz w:val="24"/>
                <w:szCs w:val="24"/>
              </w:rPr>
            </w:pPr>
          </w:p>
        </w:tc>
        <w:tc>
          <w:tcPr>
            <w:tcW w:w="2192" w:type="dxa"/>
            <w:tcBorders>
              <w:top w:val="single" w:color="auto" w:sz="6" w:space="0"/>
              <w:left w:val="single" w:color="auto" w:sz="6" w:space="0"/>
              <w:bottom w:val="single" w:color="auto" w:sz="6" w:space="0"/>
              <w:right w:val="single" w:color="auto" w:sz="4" w:space="0"/>
            </w:tcBorders>
            <w:vAlign w:val="center"/>
          </w:tcPr>
          <w:p w14:paraId="477E455E">
            <w:pPr>
              <w:adjustRightInd w:val="0"/>
              <w:snapToGrid w:val="0"/>
              <w:spacing w:line="240" w:lineRule="exact"/>
              <w:jc w:val="center"/>
              <w:outlineLvl w:val="0"/>
              <w:rPr>
                <w:rFonts w:ascii="宋体" w:hAnsi="宋体"/>
                <w:sz w:val="24"/>
                <w:szCs w:val="24"/>
              </w:rPr>
            </w:pPr>
          </w:p>
        </w:tc>
      </w:tr>
      <w:tr w14:paraId="263BBD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603" w:type="dxa"/>
            <w:tcBorders>
              <w:top w:val="single" w:color="auto" w:sz="6" w:space="0"/>
              <w:left w:val="single" w:color="auto" w:sz="4" w:space="0"/>
              <w:bottom w:val="single" w:color="auto" w:sz="6" w:space="0"/>
              <w:right w:val="single" w:color="auto" w:sz="6" w:space="0"/>
            </w:tcBorders>
            <w:vAlign w:val="center"/>
          </w:tcPr>
          <w:p w14:paraId="6398359E">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795" w:type="dxa"/>
            <w:tcBorders>
              <w:top w:val="single" w:color="auto" w:sz="6" w:space="0"/>
              <w:left w:val="single" w:color="auto" w:sz="6" w:space="0"/>
              <w:bottom w:val="single" w:color="auto" w:sz="6" w:space="0"/>
              <w:right w:val="single" w:color="auto" w:sz="6" w:space="0"/>
            </w:tcBorders>
            <w:vAlign w:val="center"/>
          </w:tcPr>
          <w:p w14:paraId="7B862FA7">
            <w:pPr>
              <w:adjustRightInd w:val="0"/>
              <w:snapToGrid w:val="0"/>
              <w:spacing w:line="240" w:lineRule="exact"/>
              <w:jc w:val="center"/>
              <w:outlineLvl w:val="0"/>
              <w:rPr>
                <w:rFonts w:ascii="宋体" w:hAnsi="宋体"/>
                <w:sz w:val="24"/>
                <w:szCs w:val="24"/>
              </w:rPr>
            </w:pPr>
          </w:p>
        </w:tc>
        <w:tc>
          <w:tcPr>
            <w:tcW w:w="2562" w:type="dxa"/>
            <w:tcBorders>
              <w:top w:val="single" w:color="auto" w:sz="6" w:space="0"/>
              <w:left w:val="single" w:color="auto" w:sz="6" w:space="0"/>
              <w:bottom w:val="single" w:color="auto" w:sz="6" w:space="0"/>
              <w:right w:val="single" w:color="auto" w:sz="6" w:space="0"/>
            </w:tcBorders>
            <w:vAlign w:val="center"/>
          </w:tcPr>
          <w:p w14:paraId="37E0F204">
            <w:pPr>
              <w:adjustRightInd w:val="0"/>
              <w:snapToGrid w:val="0"/>
              <w:spacing w:line="240" w:lineRule="exact"/>
              <w:jc w:val="center"/>
              <w:outlineLvl w:val="0"/>
              <w:rPr>
                <w:rFonts w:ascii="宋体" w:hAnsi="宋体"/>
                <w:sz w:val="24"/>
                <w:szCs w:val="24"/>
              </w:rPr>
            </w:pPr>
          </w:p>
        </w:tc>
        <w:tc>
          <w:tcPr>
            <w:tcW w:w="987" w:type="dxa"/>
            <w:tcBorders>
              <w:top w:val="single" w:color="auto" w:sz="6" w:space="0"/>
              <w:left w:val="single" w:color="auto" w:sz="6" w:space="0"/>
              <w:bottom w:val="single" w:color="auto" w:sz="6" w:space="0"/>
              <w:right w:val="single" w:color="auto" w:sz="6" w:space="0"/>
            </w:tcBorders>
            <w:vAlign w:val="center"/>
          </w:tcPr>
          <w:p w14:paraId="6BA3D9E1">
            <w:pPr>
              <w:adjustRightInd w:val="0"/>
              <w:snapToGrid w:val="0"/>
              <w:spacing w:line="240" w:lineRule="exact"/>
              <w:jc w:val="center"/>
              <w:outlineLvl w:val="0"/>
              <w:rPr>
                <w:rFonts w:ascii="宋体" w:hAnsi="宋体"/>
                <w:sz w:val="24"/>
                <w:szCs w:val="24"/>
              </w:rPr>
            </w:pPr>
          </w:p>
        </w:tc>
        <w:tc>
          <w:tcPr>
            <w:tcW w:w="2192" w:type="dxa"/>
            <w:tcBorders>
              <w:top w:val="single" w:color="auto" w:sz="6" w:space="0"/>
              <w:left w:val="single" w:color="auto" w:sz="6" w:space="0"/>
              <w:bottom w:val="single" w:color="auto" w:sz="6" w:space="0"/>
              <w:right w:val="single" w:color="auto" w:sz="4" w:space="0"/>
            </w:tcBorders>
            <w:vAlign w:val="center"/>
          </w:tcPr>
          <w:p w14:paraId="383AC40C">
            <w:pPr>
              <w:adjustRightInd w:val="0"/>
              <w:snapToGrid w:val="0"/>
              <w:spacing w:line="240" w:lineRule="exact"/>
              <w:jc w:val="center"/>
              <w:outlineLvl w:val="0"/>
              <w:rPr>
                <w:rFonts w:ascii="宋体" w:hAnsi="宋体"/>
                <w:sz w:val="24"/>
                <w:szCs w:val="24"/>
              </w:rPr>
            </w:pPr>
          </w:p>
        </w:tc>
      </w:tr>
      <w:tr w14:paraId="4E1343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139" w:type="dxa"/>
            <w:gridSpan w:val="5"/>
            <w:tcBorders>
              <w:top w:val="single" w:color="auto" w:sz="6" w:space="0"/>
              <w:left w:val="single" w:color="auto" w:sz="4" w:space="0"/>
              <w:bottom w:val="single" w:color="auto" w:sz="6" w:space="0"/>
              <w:right w:val="single" w:color="auto" w:sz="4" w:space="0"/>
            </w:tcBorders>
            <w:vAlign w:val="center"/>
          </w:tcPr>
          <w:p w14:paraId="781B2169">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180BBF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603" w:type="dxa"/>
            <w:tcBorders>
              <w:top w:val="single" w:color="auto" w:sz="6" w:space="0"/>
              <w:left w:val="single" w:color="auto" w:sz="4" w:space="0"/>
              <w:bottom w:val="single" w:color="auto" w:sz="6" w:space="0"/>
              <w:right w:val="single" w:color="auto" w:sz="6" w:space="0"/>
            </w:tcBorders>
            <w:vAlign w:val="center"/>
          </w:tcPr>
          <w:p w14:paraId="7FD03F2D">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795" w:type="dxa"/>
            <w:tcBorders>
              <w:top w:val="single" w:color="auto" w:sz="6" w:space="0"/>
              <w:left w:val="single" w:color="auto" w:sz="6" w:space="0"/>
              <w:bottom w:val="single" w:color="auto" w:sz="6" w:space="0"/>
              <w:right w:val="single" w:color="auto" w:sz="6" w:space="0"/>
            </w:tcBorders>
            <w:vAlign w:val="center"/>
          </w:tcPr>
          <w:p w14:paraId="09DEBA97">
            <w:pPr>
              <w:adjustRightInd w:val="0"/>
              <w:snapToGrid w:val="0"/>
              <w:spacing w:line="240" w:lineRule="exact"/>
              <w:jc w:val="center"/>
              <w:outlineLvl w:val="0"/>
              <w:rPr>
                <w:rFonts w:ascii="宋体" w:hAnsi="宋体"/>
                <w:sz w:val="24"/>
                <w:szCs w:val="24"/>
              </w:rPr>
            </w:pPr>
          </w:p>
        </w:tc>
        <w:tc>
          <w:tcPr>
            <w:tcW w:w="2562" w:type="dxa"/>
            <w:tcBorders>
              <w:top w:val="single" w:color="auto" w:sz="6" w:space="0"/>
              <w:left w:val="single" w:color="auto" w:sz="6" w:space="0"/>
              <w:bottom w:val="single" w:color="auto" w:sz="6" w:space="0"/>
              <w:right w:val="single" w:color="auto" w:sz="6" w:space="0"/>
            </w:tcBorders>
            <w:vAlign w:val="center"/>
          </w:tcPr>
          <w:p w14:paraId="4F10B321">
            <w:pPr>
              <w:adjustRightInd w:val="0"/>
              <w:snapToGrid w:val="0"/>
              <w:spacing w:line="240" w:lineRule="exact"/>
              <w:jc w:val="center"/>
              <w:outlineLvl w:val="0"/>
              <w:rPr>
                <w:rFonts w:ascii="宋体" w:hAnsi="宋体"/>
                <w:sz w:val="24"/>
                <w:szCs w:val="24"/>
              </w:rPr>
            </w:pPr>
          </w:p>
        </w:tc>
        <w:tc>
          <w:tcPr>
            <w:tcW w:w="987" w:type="dxa"/>
            <w:tcBorders>
              <w:top w:val="single" w:color="auto" w:sz="6" w:space="0"/>
              <w:left w:val="single" w:color="auto" w:sz="6" w:space="0"/>
              <w:bottom w:val="single" w:color="auto" w:sz="6" w:space="0"/>
              <w:right w:val="single" w:color="auto" w:sz="6" w:space="0"/>
            </w:tcBorders>
            <w:vAlign w:val="center"/>
          </w:tcPr>
          <w:p w14:paraId="40851EEB">
            <w:pPr>
              <w:adjustRightInd w:val="0"/>
              <w:snapToGrid w:val="0"/>
              <w:spacing w:line="240" w:lineRule="exact"/>
              <w:jc w:val="center"/>
              <w:outlineLvl w:val="0"/>
              <w:rPr>
                <w:rFonts w:ascii="宋体" w:hAnsi="宋体"/>
                <w:sz w:val="24"/>
                <w:szCs w:val="24"/>
              </w:rPr>
            </w:pPr>
          </w:p>
        </w:tc>
        <w:tc>
          <w:tcPr>
            <w:tcW w:w="2192" w:type="dxa"/>
            <w:tcBorders>
              <w:top w:val="single" w:color="auto" w:sz="6" w:space="0"/>
              <w:left w:val="single" w:color="auto" w:sz="6" w:space="0"/>
              <w:bottom w:val="single" w:color="auto" w:sz="6" w:space="0"/>
              <w:right w:val="single" w:color="auto" w:sz="4" w:space="0"/>
            </w:tcBorders>
            <w:vAlign w:val="center"/>
          </w:tcPr>
          <w:p w14:paraId="44FD9E1E">
            <w:pPr>
              <w:adjustRightInd w:val="0"/>
              <w:snapToGrid w:val="0"/>
              <w:spacing w:line="240" w:lineRule="exact"/>
              <w:jc w:val="center"/>
              <w:outlineLvl w:val="0"/>
              <w:rPr>
                <w:rFonts w:ascii="宋体" w:hAnsi="宋体"/>
                <w:sz w:val="24"/>
                <w:szCs w:val="24"/>
              </w:rPr>
            </w:pPr>
          </w:p>
        </w:tc>
      </w:tr>
      <w:tr w14:paraId="173579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603" w:type="dxa"/>
            <w:tcBorders>
              <w:top w:val="single" w:color="auto" w:sz="6" w:space="0"/>
              <w:left w:val="single" w:color="auto" w:sz="4" w:space="0"/>
              <w:bottom w:val="single" w:color="auto" w:sz="6" w:space="0"/>
              <w:right w:val="single" w:color="auto" w:sz="6" w:space="0"/>
            </w:tcBorders>
            <w:vAlign w:val="center"/>
          </w:tcPr>
          <w:p w14:paraId="4FFF6E23">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795" w:type="dxa"/>
            <w:tcBorders>
              <w:top w:val="single" w:color="auto" w:sz="6" w:space="0"/>
              <w:left w:val="single" w:color="auto" w:sz="6" w:space="0"/>
              <w:bottom w:val="single" w:color="auto" w:sz="6" w:space="0"/>
              <w:right w:val="single" w:color="auto" w:sz="6" w:space="0"/>
            </w:tcBorders>
            <w:vAlign w:val="center"/>
          </w:tcPr>
          <w:p w14:paraId="18B24E42">
            <w:pPr>
              <w:adjustRightInd w:val="0"/>
              <w:snapToGrid w:val="0"/>
              <w:spacing w:line="240" w:lineRule="exact"/>
              <w:jc w:val="center"/>
              <w:outlineLvl w:val="0"/>
              <w:rPr>
                <w:rFonts w:ascii="宋体" w:hAnsi="宋体"/>
                <w:sz w:val="24"/>
                <w:szCs w:val="24"/>
              </w:rPr>
            </w:pPr>
          </w:p>
        </w:tc>
        <w:tc>
          <w:tcPr>
            <w:tcW w:w="2562" w:type="dxa"/>
            <w:tcBorders>
              <w:top w:val="single" w:color="auto" w:sz="6" w:space="0"/>
              <w:left w:val="single" w:color="auto" w:sz="6" w:space="0"/>
              <w:bottom w:val="single" w:color="auto" w:sz="6" w:space="0"/>
              <w:right w:val="single" w:color="auto" w:sz="6" w:space="0"/>
            </w:tcBorders>
            <w:vAlign w:val="center"/>
          </w:tcPr>
          <w:p w14:paraId="7C18223A">
            <w:pPr>
              <w:adjustRightInd w:val="0"/>
              <w:snapToGrid w:val="0"/>
              <w:spacing w:line="240" w:lineRule="exact"/>
              <w:jc w:val="center"/>
              <w:outlineLvl w:val="0"/>
              <w:rPr>
                <w:rFonts w:ascii="宋体" w:hAnsi="宋体"/>
                <w:sz w:val="24"/>
                <w:szCs w:val="24"/>
              </w:rPr>
            </w:pPr>
          </w:p>
        </w:tc>
        <w:tc>
          <w:tcPr>
            <w:tcW w:w="987" w:type="dxa"/>
            <w:tcBorders>
              <w:top w:val="single" w:color="auto" w:sz="6" w:space="0"/>
              <w:left w:val="single" w:color="auto" w:sz="6" w:space="0"/>
              <w:bottom w:val="single" w:color="auto" w:sz="6" w:space="0"/>
              <w:right w:val="single" w:color="auto" w:sz="6" w:space="0"/>
            </w:tcBorders>
            <w:vAlign w:val="center"/>
          </w:tcPr>
          <w:p w14:paraId="3F284ED1">
            <w:pPr>
              <w:adjustRightInd w:val="0"/>
              <w:snapToGrid w:val="0"/>
              <w:spacing w:line="240" w:lineRule="exact"/>
              <w:jc w:val="center"/>
              <w:outlineLvl w:val="0"/>
              <w:rPr>
                <w:rFonts w:ascii="宋体" w:hAnsi="宋体"/>
                <w:sz w:val="24"/>
                <w:szCs w:val="24"/>
              </w:rPr>
            </w:pPr>
          </w:p>
        </w:tc>
        <w:tc>
          <w:tcPr>
            <w:tcW w:w="2192" w:type="dxa"/>
            <w:tcBorders>
              <w:top w:val="single" w:color="auto" w:sz="6" w:space="0"/>
              <w:left w:val="single" w:color="auto" w:sz="6" w:space="0"/>
              <w:bottom w:val="single" w:color="auto" w:sz="6" w:space="0"/>
              <w:right w:val="single" w:color="auto" w:sz="4" w:space="0"/>
            </w:tcBorders>
            <w:vAlign w:val="center"/>
          </w:tcPr>
          <w:p w14:paraId="6A63DF71">
            <w:pPr>
              <w:adjustRightInd w:val="0"/>
              <w:snapToGrid w:val="0"/>
              <w:spacing w:line="240" w:lineRule="exact"/>
              <w:jc w:val="center"/>
              <w:outlineLvl w:val="0"/>
              <w:rPr>
                <w:rFonts w:ascii="宋体" w:hAnsi="宋体"/>
                <w:sz w:val="24"/>
                <w:szCs w:val="24"/>
              </w:rPr>
            </w:pPr>
          </w:p>
        </w:tc>
      </w:tr>
      <w:tr w14:paraId="639D4C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603" w:type="dxa"/>
            <w:tcBorders>
              <w:top w:val="single" w:color="auto" w:sz="6" w:space="0"/>
              <w:left w:val="single" w:color="auto" w:sz="4" w:space="0"/>
              <w:bottom w:val="single" w:color="auto" w:sz="6" w:space="0"/>
              <w:right w:val="single" w:color="auto" w:sz="6" w:space="0"/>
            </w:tcBorders>
            <w:vAlign w:val="center"/>
          </w:tcPr>
          <w:p w14:paraId="5964B937">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795" w:type="dxa"/>
            <w:tcBorders>
              <w:top w:val="single" w:color="auto" w:sz="6" w:space="0"/>
              <w:left w:val="single" w:color="auto" w:sz="6" w:space="0"/>
              <w:bottom w:val="single" w:color="auto" w:sz="6" w:space="0"/>
              <w:right w:val="single" w:color="auto" w:sz="6" w:space="0"/>
            </w:tcBorders>
            <w:vAlign w:val="center"/>
          </w:tcPr>
          <w:p w14:paraId="2F070E58">
            <w:pPr>
              <w:adjustRightInd w:val="0"/>
              <w:snapToGrid w:val="0"/>
              <w:spacing w:line="240" w:lineRule="exact"/>
              <w:jc w:val="center"/>
              <w:outlineLvl w:val="0"/>
              <w:rPr>
                <w:rFonts w:ascii="宋体" w:hAnsi="宋体"/>
                <w:sz w:val="24"/>
                <w:szCs w:val="24"/>
              </w:rPr>
            </w:pPr>
          </w:p>
        </w:tc>
        <w:tc>
          <w:tcPr>
            <w:tcW w:w="2562" w:type="dxa"/>
            <w:tcBorders>
              <w:top w:val="single" w:color="auto" w:sz="6" w:space="0"/>
              <w:left w:val="single" w:color="auto" w:sz="6" w:space="0"/>
              <w:bottom w:val="single" w:color="auto" w:sz="6" w:space="0"/>
              <w:right w:val="single" w:color="auto" w:sz="6" w:space="0"/>
            </w:tcBorders>
            <w:vAlign w:val="center"/>
          </w:tcPr>
          <w:p w14:paraId="3A7621CA">
            <w:pPr>
              <w:adjustRightInd w:val="0"/>
              <w:snapToGrid w:val="0"/>
              <w:spacing w:line="240" w:lineRule="exact"/>
              <w:jc w:val="center"/>
              <w:outlineLvl w:val="0"/>
              <w:rPr>
                <w:rFonts w:ascii="宋体" w:hAnsi="宋体"/>
                <w:sz w:val="24"/>
                <w:szCs w:val="24"/>
              </w:rPr>
            </w:pPr>
          </w:p>
        </w:tc>
        <w:tc>
          <w:tcPr>
            <w:tcW w:w="987" w:type="dxa"/>
            <w:tcBorders>
              <w:top w:val="single" w:color="auto" w:sz="6" w:space="0"/>
              <w:left w:val="single" w:color="auto" w:sz="6" w:space="0"/>
              <w:bottom w:val="single" w:color="auto" w:sz="6" w:space="0"/>
              <w:right w:val="single" w:color="auto" w:sz="6" w:space="0"/>
            </w:tcBorders>
            <w:vAlign w:val="center"/>
          </w:tcPr>
          <w:p w14:paraId="7BEFECE7">
            <w:pPr>
              <w:adjustRightInd w:val="0"/>
              <w:snapToGrid w:val="0"/>
              <w:spacing w:line="240" w:lineRule="exact"/>
              <w:jc w:val="center"/>
              <w:outlineLvl w:val="0"/>
              <w:rPr>
                <w:rFonts w:ascii="宋体" w:hAnsi="宋体"/>
                <w:sz w:val="24"/>
                <w:szCs w:val="24"/>
              </w:rPr>
            </w:pPr>
          </w:p>
        </w:tc>
        <w:tc>
          <w:tcPr>
            <w:tcW w:w="2192" w:type="dxa"/>
            <w:tcBorders>
              <w:top w:val="single" w:color="auto" w:sz="6" w:space="0"/>
              <w:left w:val="single" w:color="auto" w:sz="6" w:space="0"/>
              <w:bottom w:val="single" w:color="auto" w:sz="6" w:space="0"/>
              <w:right w:val="single" w:color="auto" w:sz="4" w:space="0"/>
            </w:tcBorders>
            <w:vAlign w:val="center"/>
          </w:tcPr>
          <w:p w14:paraId="1EFFEE04">
            <w:pPr>
              <w:adjustRightInd w:val="0"/>
              <w:snapToGrid w:val="0"/>
              <w:spacing w:line="240" w:lineRule="exact"/>
              <w:jc w:val="center"/>
              <w:outlineLvl w:val="0"/>
              <w:rPr>
                <w:rFonts w:ascii="宋体" w:hAnsi="宋体"/>
                <w:sz w:val="24"/>
                <w:szCs w:val="24"/>
              </w:rPr>
            </w:pPr>
          </w:p>
        </w:tc>
      </w:tr>
      <w:tr w14:paraId="1EB26B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03" w:type="dxa"/>
            <w:tcBorders>
              <w:top w:val="single" w:color="auto" w:sz="6" w:space="0"/>
              <w:left w:val="single" w:color="auto" w:sz="4" w:space="0"/>
              <w:bottom w:val="single" w:color="auto" w:sz="4" w:space="0"/>
              <w:right w:val="single" w:color="auto" w:sz="6" w:space="0"/>
            </w:tcBorders>
            <w:vAlign w:val="center"/>
          </w:tcPr>
          <w:p w14:paraId="319404B1">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795" w:type="dxa"/>
            <w:tcBorders>
              <w:top w:val="single" w:color="auto" w:sz="6" w:space="0"/>
              <w:left w:val="single" w:color="auto" w:sz="6" w:space="0"/>
              <w:bottom w:val="single" w:color="auto" w:sz="4" w:space="0"/>
              <w:right w:val="single" w:color="auto" w:sz="6" w:space="0"/>
            </w:tcBorders>
            <w:vAlign w:val="center"/>
          </w:tcPr>
          <w:p w14:paraId="4F902B27">
            <w:pPr>
              <w:adjustRightInd w:val="0"/>
              <w:snapToGrid w:val="0"/>
              <w:spacing w:line="240" w:lineRule="exact"/>
              <w:jc w:val="center"/>
              <w:outlineLvl w:val="0"/>
              <w:rPr>
                <w:rFonts w:ascii="宋体" w:hAnsi="宋体"/>
                <w:sz w:val="24"/>
                <w:szCs w:val="24"/>
              </w:rPr>
            </w:pPr>
          </w:p>
        </w:tc>
        <w:tc>
          <w:tcPr>
            <w:tcW w:w="2562" w:type="dxa"/>
            <w:tcBorders>
              <w:top w:val="single" w:color="auto" w:sz="6" w:space="0"/>
              <w:left w:val="single" w:color="auto" w:sz="6" w:space="0"/>
              <w:bottom w:val="single" w:color="auto" w:sz="4" w:space="0"/>
              <w:right w:val="single" w:color="auto" w:sz="6" w:space="0"/>
            </w:tcBorders>
            <w:vAlign w:val="center"/>
          </w:tcPr>
          <w:p w14:paraId="628A5BBB">
            <w:pPr>
              <w:adjustRightInd w:val="0"/>
              <w:snapToGrid w:val="0"/>
              <w:spacing w:line="240" w:lineRule="exact"/>
              <w:jc w:val="center"/>
              <w:outlineLvl w:val="0"/>
              <w:rPr>
                <w:rFonts w:ascii="宋体" w:hAnsi="宋体"/>
                <w:sz w:val="24"/>
                <w:szCs w:val="24"/>
              </w:rPr>
            </w:pPr>
          </w:p>
        </w:tc>
        <w:tc>
          <w:tcPr>
            <w:tcW w:w="987" w:type="dxa"/>
            <w:tcBorders>
              <w:top w:val="single" w:color="auto" w:sz="6" w:space="0"/>
              <w:left w:val="single" w:color="auto" w:sz="6" w:space="0"/>
              <w:bottom w:val="single" w:color="auto" w:sz="4" w:space="0"/>
              <w:right w:val="single" w:color="auto" w:sz="4" w:space="0"/>
            </w:tcBorders>
            <w:vAlign w:val="center"/>
          </w:tcPr>
          <w:p w14:paraId="477CD3A1">
            <w:pPr>
              <w:adjustRightInd w:val="0"/>
              <w:snapToGrid w:val="0"/>
              <w:spacing w:line="240" w:lineRule="exact"/>
              <w:jc w:val="center"/>
              <w:outlineLvl w:val="0"/>
              <w:rPr>
                <w:rFonts w:ascii="宋体" w:hAnsi="宋体"/>
                <w:sz w:val="24"/>
                <w:szCs w:val="24"/>
              </w:rPr>
            </w:pPr>
          </w:p>
        </w:tc>
        <w:tc>
          <w:tcPr>
            <w:tcW w:w="2192" w:type="dxa"/>
            <w:tcBorders>
              <w:top w:val="single" w:color="auto" w:sz="6" w:space="0"/>
              <w:left w:val="single" w:color="auto" w:sz="4" w:space="0"/>
              <w:bottom w:val="single" w:color="auto" w:sz="4" w:space="0"/>
              <w:right w:val="single" w:color="auto" w:sz="4" w:space="0"/>
            </w:tcBorders>
            <w:vAlign w:val="center"/>
          </w:tcPr>
          <w:p w14:paraId="499A01C9">
            <w:pPr>
              <w:adjustRightInd w:val="0"/>
              <w:snapToGrid w:val="0"/>
              <w:spacing w:line="240" w:lineRule="exact"/>
              <w:jc w:val="center"/>
              <w:outlineLvl w:val="0"/>
              <w:rPr>
                <w:rFonts w:ascii="宋体" w:hAnsi="宋体"/>
                <w:sz w:val="24"/>
                <w:szCs w:val="24"/>
              </w:rPr>
            </w:pPr>
          </w:p>
        </w:tc>
      </w:tr>
    </w:tbl>
    <w:p w14:paraId="074E6096">
      <w:pPr>
        <w:adjustRightInd w:val="0"/>
        <w:snapToGrid w:val="0"/>
        <w:spacing w:line="460" w:lineRule="exact"/>
        <w:rPr>
          <w:rFonts w:ascii="宋体" w:hAnsi="宋体"/>
          <w:sz w:val="24"/>
        </w:rPr>
      </w:pPr>
      <w:r>
        <w:rPr>
          <w:rFonts w:hint="eastAsia" w:ascii="宋体" w:hAnsi="宋体"/>
          <w:sz w:val="24"/>
        </w:rPr>
        <w:t>说明：</w:t>
      </w:r>
    </w:p>
    <w:p w14:paraId="116B3E17">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5F27B38E">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4FB9D404">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6A9FE698">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3F98B5">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D58C974">
      <w:pPr>
        <w:spacing w:after="120"/>
        <w:jc w:val="left"/>
        <w:rPr>
          <w:rFonts w:ascii="宋体" w:hAnsi="宋体" w:cs="宋体"/>
          <w:b/>
          <w:sz w:val="24"/>
          <w:szCs w:val="24"/>
        </w:rPr>
      </w:pPr>
    </w:p>
    <w:p w14:paraId="2A490ED7">
      <w:pPr>
        <w:spacing w:after="120"/>
        <w:jc w:val="left"/>
      </w:pPr>
      <w:r>
        <w:rPr>
          <w:rFonts w:hint="eastAsia" w:ascii="宋体" w:hAnsi="宋体" w:cs="宋体"/>
          <w:b/>
          <w:sz w:val="24"/>
          <w:szCs w:val="24"/>
        </w:rPr>
        <w:t xml:space="preserve">      　　　　　　　　　　　　　                           日期：   年  月  日</w:t>
      </w:r>
    </w:p>
    <w:sectPr>
      <w:pgSz w:w="11906" w:h="16838"/>
      <w:pgMar w:top="567" w:right="567" w:bottom="567" w:left="85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2EB0B58"/>
    <w:rsid w:val="046B1E0B"/>
    <w:rsid w:val="05B955A9"/>
    <w:rsid w:val="091B4E6E"/>
    <w:rsid w:val="0A883CD4"/>
    <w:rsid w:val="0C911AFA"/>
    <w:rsid w:val="0DE15120"/>
    <w:rsid w:val="0F7909A8"/>
    <w:rsid w:val="0FE93A22"/>
    <w:rsid w:val="105D1B31"/>
    <w:rsid w:val="116062E1"/>
    <w:rsid w:val="17FC45AF"/>
    <w:rsid w:val="1A675CCB"/>
    <w:rsid w:val="1AAB0964"/>
    <w:rsid w:val="1B912C21"/>
    <w:rsid w:val="1F2D6B06"/>
    <w:rsid w:val="1F752E36"/>
    <w:rsid w:val="22A52928"/>
    <w:rsid w:val="234A77AC"/>
    <w:rsid w:val="252218B8"/>
    <w:rsid w:val="25EA35B4"/>
    <w:rsid w:val="2B5B3134"/>
    <w:rsid w:val="2C8F0B18"/>
    <w:rsid w:val="2F795B42"/>
    <w:rsid w:val="2FDF0B4D"/>
    <w:rsid w:val="303A0730"/>
    <w:rsid w:val="316424EB"/>
    <w:rsid w:val="31C72D8C"/>
    <w:rsid w:val="33194A17"/>
    <w:rsid w:val="36BD0379"/>
    <w:rsid w:val="371C7A7C"/>
    <w:rsid w:val="37FC2926"/>
    <w:rsid w:val="39124E76"/>
    <w:rsid w:val="3D271595"/>
    <w:rsid w:val="40E15A0D"/>
    <w:rsid w:val="42AB28F7"/>
    <w:rsid w:val="4E530476"/>
    <w:rsid w:val="4FE5479A"/>
    <w:rsid w:val="510D1B02"/>
    <w:rsid w:val="55933D75"/>
    <w:rsid w:val="559E133D"/>
    <w:rsid w:val="5C1C2E1C"/>
    <w:rsid w:val="5DFD28D7"/>
    <w:rsid w:val="5EC6574C"/>
    <w:rsid w:val="62B4350D"/>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paragraph" w:styleId="17">
    <w:name w:val="Body Text First Indent 2"/>
    <w:basedOn w:val="1"/>
    <w:unhideWhenUsed/>
    <w:qFormat/>
    <w:uiPriority w:val="99"/>
    <w:pPr>
      <w:ind w:left="0" w:leftChars="0" w:firstLine="420" w:firstLineChars="200"/>
    </w:pPr>
    <w:rPr>
      <w:rFonts w:ascii="仿宋" w:hAnsi="仿宋"/>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31"/>
    <w:basedOn w:val="19"/>
    <w:qFormat/>
    <w:uiPriority w:val="0"/>
    <w:rPr>
      <w:rFonts w:hint="eastAsia" w:ascii="宋体" w:hAnsi="宋体" w:eastAsia="宋体" w:cs="宋体"/>
      <w:color w:val="000000"/>
      <w:sz w:val="20"/>
      <w:szCs w:val="20"/>
      <w:u w:val="none"/>
    </w:rPr>
  </w:style>
  <w:style w:type="character" w:customStyle="1" w:styleId="37">
    <w:name w:val="font41"/>
    <w:basedOn w:val="1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10668</Words>
  <Characters>10939</Characters>
  <Lines>47</Lines>
  <Paragraphs>13</Paragraphs>
  <TotalTime>17</TotalTime>
  <ScaleCrop>false</ScaleCrop>
  <LinksUpToDate>false</LinksUpToDate>
  <CharactersWithSpaces>12109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2025-05-06T07:47:48Z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051CB83CC0DE486481F7DF0728A61414_13</vt:lpwstr>
  </property>
</Properties>
</file>